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宋体" w:cs="Times New Roman"/>
          <w:color w:val="auto"/>
          <w:sz w:val="52"/>
          <w:szCs w:val="52"/>
        </w:rPr>
      </w:pPr>
    </w:p>
    <w:p>
      <w:pPr>
        <w:spacing w:line="360" w:lineRule="auto"/>
        <w:jc w:val="center"/>
        <w:rPr>
          <w:rFonts w:hint="default" w:ascii="Times New Roman" w:hAnsi="Times New Roman" w:eastAsia="宋体" w:cs="Times New Roman"/>
          <w:color w:val="auto"/>
          <w:sz w:val="52"/>
          <w:szCs w:val="52"/>
          <w:u w:val="single"/>
        </w:rPr>
      </w:pPr>
    </w:p>
    <w:p>
      <w:pPr>
        <w:spacing w:line="360" w:lineRule="auto"/>
        <w:jc w:val="both"/>
        <w:rPr>
          <w:rFonts w:hint="default" w:ascii="Times New Roman" w:hAnsi="Times New Roman" w:eastAsia="宋体" w:cs="Times New Roman"/>
          <w:color w:val="auto"/>
          <w:sz w:val="52"/>
          <w:szCs w:val="52"/>
        </w:rPr>
      </w:pPr>
    </w:p>
    <w:p>
      <w:pPr>
        <w:spacing w:line="900" w:lineRule="exact"/>
        <w:jc w:val="center"/>
        <w:outlineLvl w:val="0"/>
        <w:rPr>
          <w:rFonts w:hint="default" w:ascii="华文中宋" w:hAnsi="华文中宋" w:eastAsia="华文中宋" w:cs="文星简黑体"/>
          <w:b/>
          <w:bCs/>
          <w:color w:val="auto"/>
          <w:sz w:val="48"/>
          <w:szCs w:val="48"/>
          <w:lang w:val="en-US" w:eastAsia="zh-CN"/>
        </w:rPr>
      </w:pPr>
      <w:bookmarkStart w:id="0" w:name="_Toc11571"/>
      <w:r>
        <w:rPr>
          <w:rFonts w:hint="eastAsia" w:ascii="华文中宋" w:hAnsi="华文中宋" w:eastAsia="华文中宋" w:cs="文星简黑体"/>
          <w:b/>
          <w:bCs/>
          <w:color w:val="auto"/>
          <w:sz w:val="48"/>
          <w:szCs w:val="48"/>
          <w:lang w:val="en-US" w:eastAsia="zh-CN"/>
        </w:rPr>
        <w:t>双鸭山市水务局2021年</w:t>
      </w:r>
      <w:bookmarkEnd w:id="0"/>
      <w:bookmarkStart w:id="1" w:name="_Toc1818"/>
      <w:r>
        <w:rPr>
          <w:rFonts w:hint="eastAsia" w:ascii="华文中宋" w:hAnsi="华文中宋" w:eastAsia="华文中宋" w:cs="文星简黑体"/>
          <w:b/>
          <w:bCs/>
          <w:color w:val="auto"/>
          <w:sz w:val="48"/>
          <w:szCs w:val="48"/>
          <w:lang w:val="en-US" w:eastAsia="zh-CN"/>
        </w:rPr>
        <w:t>单位资金管理情况全方位绩效评价报告</w:t>
      </w:r>
      <w:bookmarkEnd w:id="1"/>
    </w:p>
    <w:p>
      <w:pPr>
        <w:spacing w:line="360" w:lineRule="auto"/>
        <w:jc w:val="right"/>
        <w:rPr>
          <w:rFonts w:hint="default" w:ascii="Times New Roman" w:hAnsi="Times New Roman" w:eastAsia="宋体" w:cs="Times New Roman"/>
          <w:color w:val="auto"/>
          <w:sz w:val="52"/>
          <w:szCs w:val="52"/>
        </w:rPr>
      </w:pPr>
    </w:p>
    <w:p>
      <w:pPr>
        <w:spacing w:line="360" w:lineRule="auto"/>
        <w:jc w:val="center"/>
        <w:rPr>
          <w:rFonts w:hint="default" w:ascii="Times New Roman" w:hAnsi="Times New Roman" w:eastAsia="宋体" w:cs="Times New Roman"/>
          <w:color w:val="auto"/>
          <w:sz w:val="52"/>
          <w:szCs w:val="52"/>
        </w:rPr>
      </w:pPr>
    </w:p>
    <w:p>
      <w:pPr>
        <w:spacing w:line="360" w:lineRule="auto"/>
        <w:jc w:val="center"/>
        <w:rPr>
          <w:rFonts w:hint="default" w:ascii="Times New Roman" w:hAnsi="Times New Roman" w:eastAsia="宋体" w:cs="Times New Roman"/>
          <w:color w:val="auto"/>
          <w:sz w:val="52"/>
          <w:szCs w:val="52"/>
        </w:rPr>
      </w:pPr>
    </w:p>
    <w:p>
      <w:pPr>
        <w:spacing w:line="360" w:lineRule="auto"/>
        <w:jc w:val="center"/>
        <w:rPr>
          <w:rFonts w:hint="default" w:ascii="Times New Roman" w:hAnsi="Times New Roman" w:eastAsia="宋体" w:cs="Times New Roman"/>
          <w:color w:val="auto"/>
          <w:sz w:val="52"/>
          <w:szCs w:val="52"/>
        </w:rPr>
      </w:pPr>
    </w:p>
    <w:p>
      <w:pPr>
        <w:spacing w:line="360" w:lineRule="auto"/>
        <w:rPr>
          <w:rFonts w:hint="default" w:ascii="Times New Roman" w:hAnsi="Times New Roman" w:eastAsia="宋体" w:cs="Times New Roman"/>
          <w:color w:val="auto"/>
          <w:sz w:val="52"/>
          <w:szCs w:val="52"/>
        </w:rPr>
      </w:pPr>
      <w:r>
        <w:rPr>
          <w:rFonts w:hint="default" w:ascii="Times New Roman" w:hAnsi="Times New Roman" w:eastAsia="宋体" w:cs="Times New Roman"/>
          <w:color w:val="auto"/>
          <w:sz w:val="52"/>
          <w:szCs w:val="52"/>
        </w:rPr>
        <w:t xml:space="preserve">            </w:t>
      </w:r>
    </w:p>
    <w:p>
      <w:pPr>
        <w:spacing w:line="360" w:lineRule="auto"/>
        <w:rPr>
          <w:rFonts w:hint="default" w:ascii="Times New Roman" w:hAnsi="Times New Roman" w:eastAsia="宋体" w:cs="Times New Roman"/>
          <w:color w:val="auto"/>
          <w:sz w:val="52"/>
          <w:szCs w:val="52"/>
        </w:rPr>
      </w:pPr>
    </w:p>
    <w:p>
      <w:pPr>
        <w:spacing w:before="120" w:after="120" w:line="360" w:lineRule="auto"/>
        <w:rPr>
          <w:rFonts w:hint="default" w:ascii="Times New Roman" w:hAnsi="Times New Roman" w:eastAsia="宋体" w:cs="Times New Roman"/>
          <w:color w:val="auto"/>
          <w:sz w:val="32"/>
          <w:szCs w:val="32"/>
        </w:rPr>
      </w:pPr>
      <w:r>
        <w:rPr>
          <w:rFonts w:hint="default" w:ascii="Times New Roman" w:hAnsi="Times New Roman" w:eastAsia="宋体" w:cs="Times New Roman"/>
          <w:color w:val="auto"/>
          <w:sz w:val="32"/>
          <w:szCs w:val="32"/>
        </w:rPr>
        <w:t xml:space="preserve">              </w:t>
      </w:r>
    </w:p>
    <w:p>
      <w:pPr>
        <w:spacing w:before="120" w:after="120" w:line="360" w:lineRule="auto"/>
        <w:ind w:left="1600" w:hanging="1600" w:hangingChars="500"/>
        <w:jc w:val="left"/>
        <w:rPr>
          <w:rFonts w:hint="default" w:ascii="Times New Roman" w:hAnsi="Times New Roman" w:eastAsia="宋体" w:cs="Times New Roman"/>
          <w:color w:val="auto"/>
          <w:sz w:val="32"/>
          <w:szCs w:val="32"/>
          <w:lang w:eastAsia="zh-CN"/>
        </w:rPr>
      </w:pPr>
      <w:r>
        <w:rPr>
          <w:rFonts w:hint="default" w:ascii="Times New Roman" w:hAnsi="Times New Roman" w:eastAsia="宋体" w:cs="Times New Roman"/>
          <w:color w:val="auto"/>
          <w:sz w:val="32"/>
          <w:szCs w:val="32"/>
        </w:rPr>
        <w:t>项目名称：</w:t>
      </w:r>
      <w:r>
        <w:rPr>
          <w:rFonts w:hint="eastAsia" w:cs="Times New Roman"/>
          <w:color w:val="auto"/>
          <w:sz w:val="32"/>
          <w:szCs w:val="32"/>
          <w:lang w:val="en-US" w:eastAsia="zh-CN"/>
        </w:rPr>
        <w:t>双鸭山市水务局2021年单位资金管理情况全方位绩效评价</w:t>
      </w:r>
    </w:p>
    <w:p>
      <w:pPr>
        <w:spacing w:before="120" w:after="120" w:line="360" w:lineRule="auto"/>
        <w:jc w:val="left"/>
        <w:rPr>
          <w:rFonts w:hint="eastAsia" w:ascii="Times New Roman" w:hAnsi="Times New Roman" w:eastAsia="宋体" w:cs="Times New Roman"/>
          <w:color w:val="auto"/>
          <w:sz w:val="32"/>
          <w:szCs w:val="32"/>
          <w:lang w:eastAsia="zh-CN"/>
        </w:rPr>
      </w:pPr>
      <w:r>
        <w:rPr>
          <w:rFonts w:hint="default" w:ascii="Times New Roman" w:hAnsi="Times New Roman" w:eastAsia="宋体" w:cs="Times New Roman"/>
          <w:color w:val="auto"/>
          <w:sz w:val="32"/>
          <w:szCs w:val="32"/>
        </w:rPr>
        <w:t>项目单位：</w:t>
      </w:r>
      <w:r>
        <w:rPr>
          <w:rFonts w:hint="eastAsia" w:cs="Times New Roman"/>
          <w:color w:val="auto"/>
          <w:sz w:val="32"/>
          <w:szCs w:val="32"/>
          <w:lang w:eastAsia="zh-CN"/>
        </w:rPr>
        <w:t>双鸭山市水务局</w:t>
      </w:r>
    </w:p>
    <w:p>
      <w:pPr>
        <w:spacing w:before="120" w:after="120" w:line="360" w:lineRule="auto"/>
        <w:jc w:val="left"/>
        <w:rPr>
          <w:rFonts w:hint="default" w:ascii="Times New Roman" w:hAnsi="Times New Roman" w:eastAsia="宋体" w:cs="Times New Roman"/>
          <w:color w:val="auto"/>
          <w:sz w:val="32"/>
          <w:szCs w:val="32"/>
        </w:rPr>
      </w:pPr>
      <w:r>
        <w:rPr>
          <w:rFonts w:hint="default" w:ascii="Times New Roman" w:hAnsi="Times New Roman" w:eastAsia="宋体" w:cs="Times New Roman"/>
          <w:color w:val="auto"/>
          <w:sz w:val="32"/>
          <w:szCs w:val="32"/>
        </w:rPr>
        <w:t>评价单位（机构）：国咨项目管理有限公司</w:t>
      </w:r>
    </w:p>
    <w:p>
      <w:pPr>
        <w:spacing w:before="120" w:after="120" w:line="360" w:lineRule="auto"/>
        <w:jc w:val="left"/>
        <w:rPr>
          <w:rFonts w:hint="default" w:ascii="Times New Roman" w:hAnsi="Times New Roman" w:eastAsia="宋体" w:cs="Times New Roman"/>
          <w:color w:val="auto"/>
          <w:sz w:val="32"/>
          <w:szCs w:val="32"/>
          <w:lang w:val="en-US" w:eastAsia="zh-CN"/>
        </w:rPr>
      </w:pPr>
      <w:r>
        <w:rPr>
          <w:rFonts w:hint="default" w:ascii="Times New Roman" w:hAnsi="Times New Roman" w:eastAsia="宋体" w:cs="Times New Roman"/>
          <w:color w:val="auto"/>
          <w:sz w:val="32"/>
          <w:szCs w:val="32"/>
        </w:rPr>
        <w:t>评价工作组成员：</w:t>
      </w:r>
      <w:r>
        <w:rPr>
          <w:rFonts w:hint="eastAsia" w:cs="Times New Roman"/>
          <w:color w:val="auto"/>
          <w:sz w:val="32"/>
          <w:szCs w:val="32"/>
          <w:lang w:val="en-US" w:eastAsia="zh-CN"/>
        </w:rPr>
        <w:t>张迪 孙志楠 荆彦旭 黄珊 刘婷婷</w:t>
      </w:r>
    </w:p>
    <w:p>
      <w:pPr>
        <w:spacing w:before="120" w:after="120" w:line="360" w:lineRule="auto"/>
        <w:jc w:val="center"/>
        <w:rPr>
          <w:rFonts w:hint="default" w:ascii="Times New Roman" w:hAnsi="Times New Roman" w:eastAsia="宋体" w:cs="Times New Roman"/>
          <w:color w:val="auto"/>
          <w:sz w:val="32"/>
          <w:szCs w:val="32"/>
        </w:rPr>
      </w:pPr>
    </w:p>
    <w:p>
      <w:pPr>
        <w:spacing w:before="120" w:after="120" w:line="360" w:lineRule="auto"/>
        <w:jc w:val="center"/>
        <w:rPr>
          <w:rFonts w:hint="default" w:ascii="Times New Roman" w:hAnsi="Times New Roman" w:eastAsia="宋体" w:cs="Times New Roman"/>
          <w:color w:val="auto"/>
          <w:sz w:val="32"/>
          <w:szCs w:val="32"/>
        </w:rPr>
      </w:pPr>
    </w:p>
    <w:p>
      <w:pPr>
        <w:spacing w:before="120" w:after="120" w:line="360" w:lineRule="auto"/>
        <w:jc w:val="center"/>
        <w:rPr>
          <w:rFonts w:hint="default" w:ascii="Times New Roman" w:hAnsi="Times New Roman" w:eastAsia="宋体" w:cs="Times New Roman"/>
          <w:color w:val="auto"/>
          <w:sz w:val="32"/>
          <w:szCs w:val="32"/>
        </w:rPr>
      </w:pPr>
      <w:r>
        <w:rPr>
          <w:rFonts w:hint="default" w:ascii="Times New Roman" w:hAnsi="Times New Roman" w:eastAsia="宋体" w:cs="Times New Roman"/>
          <w:color w:val="auto"/>
          <w:sz w:val="32"/>
          <w:szCs w:val="32"/>
        </w:rPr>
        <w:t>202</w:t>
      </w:r>
      <w:r>
        <w:rPr>
          <w:rFonts w:hint="eastAsia" w:ascii="Times New Roman" w:hAnsi="Times New Roman" w:cs="Times New Roman"/>
          <w:color w:val="auto"/>
          <w:sz w:val="32"/>
          <w:szCs w:val="32"/>
          <w:lang w:val="en-US" w:eastAsia="zh-CN"/>
        </w:rPr>
        <w:t>2</w:t>
      </w:r>
      <w:r>
        <w:rPr>
          <w:rFonts w:hint="default" w:ascii="Times New Roman" w:hAnsi="Times New Roman" w:eastAsia="宋体" w:cs="Times New Roman"/>
          <w:color w:val="auto"/>
          <w:sz w:val="32"/>
          <w:szCs w:val="32"/>
        </w:rPr>
        <w:t>年</w:t>
      </w:r>
      <w:r>
        <w:rPr>
          <w:rFonts w:hint="eastAsia" w:cs="Times New Roman"/>
          <w:color w:val="auto"/>
          <w:sz w:val="32"/>
          <w:szCs w:val="32"/>
          <w:lang w:val="en-US" w:eastAsia="zh-CN"/>
        </w:rPr>
        <w:t>12</w:t>
      </w:r>
      <w:r>
        <w:rPr>
          <w:rFonts w:hint="default" w:ascii="Times New Roman" w:hAnsi="Times New Roman" w:eastAsia="宋体" w:cs="Times New Roman"/>
          <w:color w:val="auto"/>
          <w:sz w:val="32"/>
          <w:szCs w:val="32"/>
        </w:rPr>
        <w:t>月</w:t>
      </w:r>
    </w:p>
    <w:sdt>
      <w:sdtPr>
        <w:rPr>
          <w:rFonts w:ascii="宋体" w:hAnsi="宋体" w:eastAsia="宋体" w:cs="Times New Roman"/>
          <w:color w:val="auto"/>
          <w:sz w:val="21"/>
          <w:szCs w:val="21"/>
          <w:lang w:val="en-US" w:eastAsia="zh-CN" w:bidi="ar-SA"/>
        </w:rPr>
        <w:id w:val="147470540"/>
        <w15:color w:val="DBDBDB"/>
        <w:docPartObj>
          <w:docPartGallery w:val="Table of Contents"/>
          <w:docPartUnique/>
        </w:docPartObj>
      </w:sdtPr>
      <w:sdtEndPr>
        <w:rPr>
          <w:rFonts w:hint="default" w:ascii="Times New Roman" w:hAnsi="Times New Roman" w:eastAsia="宋体" w:cs="Times New Roman"/>
          <w:b/>
          <w:color w:val="auto"/>
          <w:sz w:val="21"/>
          <w:szCs w:val="32"/>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imes New Roman"/>
              <w:color w:val="auto"/>
              <w:sz w:val="21"/>
              <w:szCs w:val="21"/>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color w:val="auto"/>
              <w:sz w:val="21"/>
              <w:szCs w:val="21"/>
              <w:lang w:val="en-US" w:eastAsia="zh-CN" w:bidi="ar-SA"/>
            </w:rPr>
          </w:pPr>
        </w:p>
        <w:p>
          <w:pPr>
            <w:spacing w:before="0" w:beforeLines="0" w:after="0" w:afterLines="0" w:line="240" w:lineRule="auto"/>
            <w:ind w:left="0" w:leftChars="0" w:right="0" w:rightChars="0" w:firstLine="0" w:firstLineChars="0"/>
            <w:jc w:val="center"/>
            <w:rPr>
              <w:b/>
              <w:bCs/>
              <w:color w:val="auto"/>
              <w:sz w:val="32"/>
              <w:szCs w:val="32"/>
            </w:rPr>
          </w:pPr>
          <w:r>
            <w:rPr>
              <w:rFonts w:ascii="宋体" w:hAnsi="宋体" w:eastAsia="宋体"/>
              <w:b/>
              <w:bCs/>
              <w:color w:val="auto"/>
              <w:sz w:val="32"/>
              <w:szCs w:val="32"/>
            </w:rPr>
            <w:t>目</w:t>
          </w:r>
          <w:r>
            <w:rPr>
              <w:rFonts w:hint="eastAsia" w:ascii="宋体" w:hAnsi="宋体" w:eastAsia="宋体"/>
              <w:b/>
              <w:bCs/>
              <w:color w:val="auto"/>
              <w:sz w:val="32"/>
              <w:szCs w:val="32"/>
              <w:lang w:val="en-US" w:eastAsia="zh-CN"/>
            </w:rPr>
            <w:t xml:space="preserve">  </w:t>
          </w:r>
          <w:r>
            <w:rPr>
              <w:rFonts w:ascii="宋体" w:hAnsi="宋体" w:eastAsia="宋体"/>
              <w:b/>
              <w:bCs/>
              <w:color w:val="auto"/>
              <w:sz w:val="32"/>
              <w:szCs w:val="32"/>
            </w:rPr>
            <w:t>录</w:t>
          </w:r>
        </w:p>
        <w:p>
          <w:pPr>
            <w:pStyle w:val="24"/>
            <w:tabs>
              <w:tab w:val="right" w:leader="dot" w:pos="9072"/>
            </w:tabs>
            <w:rPr>
              <w:b/>
              <w:color w:val="auto"/>
              <w:sz w:val="28"/>
              <w:szCs w:val="28"/>
            </w:rPr>
          </w:pPr>
          <w:r>
            <w:rPr>
              <w:rFonts w:hint="default" w:ascii="Times New Roman" w:hAnsi="Times New Roman" w:eastAsia="宋体" w:cs="Times New Roman"/>
              <w:color w:val="auto"/>
              <w:sz w:val="32"/>
              <w:szCs w:val="32"/>
            </w:rPr>
            <w:fldChar w:fldCharType="begin"/>
          </w:r>
          <w:r>
            <w:rPr>
              <w:rFonts w:hint="default" w:ascii="Times New Roman" w:hAnsi="Times New Roman" w:eastAsia="宋体" w:cs="Times New Roman"/>
              <w:color w:val="auto"/>
              <w:sz w:val="32"/>
              <w:szCs w:val="32"/>
            </w:rPr>
            <w:instrText xml:space="preserve">TOC \o "1-2" \h \u </w:instrText>
          </w:r>
          <w:r>
            <w:rPr>
              <w:rFonts w:hint="default" w:ascii="Times New Roman" w:hAnsi="Times New Roman" w:eastAsia="宋体" w:cs="Times New Roman"/>
              <w:color w:val="auto"/>
              <w:sz w:val="32"/>
              <w:szCs w:val="32"/>
            </w:rPr>
            <w:fldChar w:fldCharType="separate"/>
          </w:r>
          <w:r>
            <w:rPr>
              <w:rFonts w:hint="default" w:ascii="Times New Roman" w:hAnsi="Times New Roman" w:eastAsia="宋体" w:cs="Times New Roman"/>
              <w:b/>
              <w:color w:val="auto"/>
              <w:sz w:val="28"/>
              <w:szCs w:val="48"/>
            </w:rPr>
            <w:fldChar w:fldCharType="begin"/>
          </w:r>
          <w:r>
            <w:rPr>
              <w:rFonts w:hint="default" w:ascii="Times New Roman" w:hAnsi="Times New Roman" w:eastAsia="宋体" w:cs="Times New Roman"/>
              <w:b/>
              <w:color w:val="auto"/>
              <w:sz w:val="28"/>
              <w:szCs w:val="48"/>
            </w:rPr>
            <w:instrText xml:space="preserve"> HYPERLINK \l _Toc22380 </w:instrText>
          </w:r>
          <w:r>
            <w:rPr>
              <w:rFonts w:hint="default" w:ascii="Times New Roman" w:hAnsi="Times New Roman" w:eastAsia="宋体" w:cs="Times New Roman"/>
              <w:b/>
              <w:color w:val="auto"/>
              <w:sz w:val="28"/>
              <w:szCs w:val="48"/>
            </w:rPr>
            <w:fldChar w:fldCharType="separate"/>
          </w:r>
          <w:r>
            <w:rPr>
              <w:rFonts w:hint="eastAsia" w:asciiTheme="minorEastAsia" w:hAnsiTheme="minorEastAsia" w:eastAsiaTheme="minorEastAsia" w:cstheme="minorEastAsia"/>
              <w:b/>
              <w:bCs/>
              <w:color w:val="auto"/>
              <w:sz w:val="28"/>
              <w:szCs w:val="44"/>
              <w:highlight w:val="none"/>
            </w:rPr>
            <w:t>一、</w:t>
          </w:r>
          <w:r>
            <w:rPr>
              <w:rFonts w:hint="eastAsia" w:asciiTheme="minorEastAsia" w:hAnsiTheme="minorEastAsia" w:eastAsiaTheme="minorEastAsia" w:cstheme="minorEastAsia"/>
              <w:b/>
              <w:bCs/>
              <w:color w:val="auto"/>
              <w:sz w:val="28"/>
              <w:szCs w:val="44"/>
              <w:highlight w:val="none"/>
              <w:lang w:val="en-US" w:eastAsia="zh-CN"/>
            </w:rPr>
            <w:t>基本情况</w:t>
          </w:r>
          <w:r>
            <w:rPr>
              <w:b/>
              <w:color w:val="auto"/>
              <w:sz w:val="28"/>
              <w:szCs w:val="28"/>
            </w:rPr>
            <w:tab/>
          </w:r>
          <w:r>
            <w:rPr>
              <w:b/>
              <w:color w:val="auto"/>
              <w:sz w:val="28"/>
              <w:szCs w:val="28"/>
            </w:rPr>
            <w:fldChar w:fldCharType="begin"/>
          </w:r>
          <w:r>
            <w:rPr>
              <w:b/>
              <w:color w:val="auto"/>
              <w:sz w:val="28"/>
              <w:szCs w:val="28"/>
            </w:rPr>
            <w:instrText xml:space="preserve"> PAGEREF _Toc22380 \h </w:instrText>
          </w:r>
          <w:r>
            <w:rPr>
              <w:b/>
              <w:color w:val="auto"/>
              <w:sz w:val="28"/>
              <w:szCs w:val="28"/>
            </w:rPr>
            <w:fldChar w:fldCharType="separate"/>
          </w:r>
          <w:r>
            <w:rPr>
              <w:b/>
              <w:color w:val="auto"/>
              <w:sz w:val="28"/>
              <w:szCs w:val="28"/>
            </w:rPr>
            <w:t>1</w:t>
          </w:r>
          <w:r>
            <w:rPr>
              <w:b/>
              <w:color w:val="auto"/>
              <w:sz w:val="28"/>
              <w:szCs w:val="28"/>
            </w:rPr>
            <w:fldChar w:fldCharType="end"/>
          </w:r>
          <w:r>
            <w:rPr>
              <w:rFonts w:hint="default" w:ascii="Times New Roman" w:hAnsi="Times New Roman" w:eastAsia="宋体" w:cs="Times New Roman"/>
              <w:b/>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_Toc2722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highlight w:val="none"/>
              <w:lang w:val="en-US" w:eastAsia="zh-CN" w:bidi="ar-SA"/>
            </w:rPr>
            <w:t>（一）部门（单位）主要职责职能</w:t>
          </w:r>
          <w:r>
            <w:rPr>
              <w:color w:val="auto"/>
              <w:sz w:val="28"/>
              <w:szCs w:val="28"/>
            </w:rPr>
            <w:tab/>
          </w:r>
          <w:r>
            <w:rPr>
              <w:color w:val="auto"/>
              <w:sz w:val="28"/>
              <w:szCs w:val="28"/>
            </w:rPr>
            <w:fldChar w:fldCharType="begin"/>
          </w:r>
          <w:r>
            <w:rPr>
              <w:color w:val="auto"/>
              <w:sz w:val="28"/>
              <w:szCs w:val="28"/>
            </w:rPr>
            <w:instrText xml:space="preserve"> PAGEREF _Toc2722 \h </w:instrText>
          </w:r>
          <w:r>
            <w:rPr>
              <w:color w:val="auto"/>
              <w:sz w:val="28"/>
              <w:szCs w:val="28"/>
            </w:rPr>
            <w:fldChar w:fldCharType="separate"/>
          </w:r>
          <w:r>
            <w:rPr>
              <w:color w:val="auto"/>
              <w:sz w:val="28"/>
              <w:szCs w:val="28"/>
            </w:rPr>
            <w:t>1</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_Toc14239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highlight w:val="none"/>
              <w:lang w:val="en-US" w:eastAsia="zh-CN"/>
            </w:rPr>
            <w:t>（二）部门主要架构</w:t>
          </w:r>
          <w:r>
            <w:rPr>
              <w:color w:val="auto"/>
              <w:sz w:val="28"/>
              <w:szCs w:val="28"/>
            </w:rPr>
            <w:tab/>
          </w:r>
          <w:r>
            <w:rPr>
              <w:color w:val="auto"/>
              <w:sz w:val="28"/>
              <w:szCs w:val="28"/>
            </w:rPr>
            <w:fldChar w:fldCharType="begin"/>
          </w:r>
          <w:r>
            <w:rPr>
              <w:color w:val="auto"/>
              <w:sz w:val="28"/>
              <w:szCs w:val="28"/>
            </w:rPr>
            <w:instrText xml:space="preserve"> PAGEREF _Toc14239 \h </w:instrText>
          </w:r>
          <w:r>
            <w:rPr>
              <w:color w:val="auto"/>
              <w:sz w:val="28"/>
              <w:szCs w:val="28"/>
            </w:rPr>
            <w:fldChar w:fldCharType="separate"/>
          </w:r>
          <w:r>
            <w:rPr>
              <w:color w:val="auto"/>
              <w:sz w:val="28"/>
              <w:szCs w:val="28"/>
            </w:rPr>
            <w:t>1</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_Toc23095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lang w:val="en-US" w:eastAsia="zh-CN"/>
            </w:rPr>
            <w:t>（三）部门人员构成</w:t>
          </w:r>
          <w:r>
            <w:rPr>
              <w:color w:val="auto"/>
              <w:sz w:val="28"/>
              <w:szCs w:val="28"/>
            </w:rPr>
            <w:tab/>
          </w:r>
          <w:r>
            <w:rPr>
              <w:color w:val="auto"/>
              <w:sz w:val="28"/>
              <w:szCs w:val="28"/>
            </w:rPr>
            <w:fldChar w:fldCharType="begin"/>
          </w:r>
          <w:r>
            <w:rPr>
              <w:color w:val="auto"/>
              <w:sz w:val="28"/>
              <w:szCs w:val="28"/>
            </w:rPr>
            <w:instrText xml:space="preserve"> PAGEREF _Toc23095 \h </w:instrText>
          </w:r>
          <w:r>
            <w:rPr>
              <w:color w:val="auto"/>
              <w:sz w:val="28"/>
              <w:szCs w:val="28"/>
            </w:rPr>
            <w:fldChar w:fldCharType="separate"/>
          </w:r>
          <w:r>
            <w:rPr>
              <w:color w:val="auto"/>
              <w:sz w:val="28"/>
              <w:szCs w:val="28"/>
            </w:rPr>
            <w:t>2</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_Toc15733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lang w:val="en-US" w:eastAsia="zh-CN"/>
            </w:rPr>
            <w:t>（四）</w:t>
          </w:r>
          <w:r>
            <w:rPr>
              <w:rFonts w:hint="eastAsia" w:asciiTheme="minorEastAsia" w:hAnsiTheme="minorEastAsia" w:eastAsiaTheme="minorEastAsia" w:cstheme="minorEastAsia"/>
              <w:bCs/>
              <w:color w:val="auto"/>
              <w:sz w:val="28"/>
              <w:szCs w:val="44"/>
              <w:highlight w:val="none"/>
              <w:lang w:val="en-US" w:eastAsia="zh-CN"/>
            </w:rPr>
            <w:t>年度总体工作和重点工作任务</w:t>
          </w:r>
          <w:r>
            <w:rPr>
              <w:color w:val="auto"/>
              <w:sz w:val="28"/>
              <w:szCs w:val="28"/>
            </w:rPr>
            <w:tab/>
          </w:r>
          <w:r>
            <w:rPr>
              <w:color w:val="auto"/>
              <w:sz w:val="28"/>
              <w:szCs w:val="28"/>
            </w:rPr>
            <w:fldChar w:fldCharType="begin"/>
          </w:r>
          <w:r>
            <w:rPr>
              <w:color w:val="auto"/>
              <w:sz w:val="28"/>
              <w:szCs w:val="28"/>
            </w:rPr>
            <w:instrText xml:space="preserve"> PAGEREF _Toc15733 \h </w:instrText>
          </w:r>
          <w:r>
            <w:rPr>
              <w:color w:val="auto"/>
              <w:sz w:val="28"/>
              <w:szCs w:val="28"/>
            </w:rPr>
            <w:fldChar w:fldCharType="separate"/>
          </w:r>
          <w:r>
            <w:rPr>
              <w:color w:val="auto"/>
              <w:sz w:val="28"/>
              <w:szCs w:val="28"/>
            </w:rPr>
            <w:t>3</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_Toc7065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lang w:val="en-US" w:eastAsia="zh-CN"/>
            </w:rPr>
            <w:t>（五）资金投入及使用情况</w:t>
          </w:r>
          <w:r>
            <w:rPr>
              <w:color w:val="auto"/>
              <w:sz w:val="28"/>
              <w:szCs w:val="28"/>
            </w:rPr>
            <w:tab/>
          </w:r>
          <w:r>
            <w:rPr>
              <w:color w:val="auto"/>
              <w:sz w:val="28"/>
              <w:szCs w:val="28"/>
            </w:rPr>
            <w:fldChar w:fldCharType="begin"/>
          </w:r>
          <w:r>
            <w:rPr>
              <w:color w:val="auto"/>
              <w:sz w:val="28"/>
              <w:szCs w:val="28"/>
            </w:rPr>
            <w:instrText xml:space="preserve"> PAGEREF _Toc7065 \h </w:instrText>
          </w:r>
          <w:r>
            <w:rPr>
              <w:color w:val="auto"/>
              <w:sz w:val="28"/>
              <w:szCs w:val="28"/>
            </w:rPr>
            <w:fldChar w:fldCharType="separate"/>
          </w:r>
          <w:r>
            <w:rPr>
              <w:color w:val="auto"/>
              <w:sz w:val="28"/>
              <w:szCs w:val="28"/>
            </w:rPr>
            <w:t>3</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4"/>
            <w:tabs>
              <w:tab w:val="right" w:leader="dot" w:pos="9072"/>
            </w:tabs>
            <w:rPr>
              <w:b/>
              <w:color w:val="auto"/>
              <w:sz w:val="28"/>
              <w:szCs w:val="28"/>
            </w:rPr>
          </w:pPr>
          <w:r>
            <w:rPr>
              <w:rFonts w:hint="default" w:ascii="Times New Roman" w:hAnsi="Times New Roman" w:eastAsia="宋体" w:cs="Times New Roman"/>
              <w:b/>
              <w:color w:val="auto"/>
              <w:sz w:val="28"/>
              <w:szCs w:val="48"/>
            </w:rPr>
            <w:fldChar w:fldCharType="begin"/>
          </w:r>
          <w:r>
            <w:rPr>
              <w:rFonts w:hint="default" w:ascii="Times New Roman" w:hAnsi="Times New Roman" w:eastAsia="宋体" w:cs="Times New Roman"/>
              <w:b/>
              <w:color w:val="auto"/>
              <w:sz w:val="28"/>
              <w:szCs w:val="48"/>
            </w:rPr>
            <w:instrText xml:space="preserve"> HYPERLINK \l _Toc28350 </w:instrText>
          </w:r>
          <w:r>
            <w:rPr>
              <w:rFonts w:hint="default" w:ascii="Times New Roman" w:hAnsi="Times New Roman" w:eastAsia="宋体" w:cs="Times New Roman"/>
              <w:b/>
              <w:color w:val="auto"/>
              <w:sz w:val="28"/>
              <w:szCs w:val="48"/>
            </w:rPr>
            <w:fldChar w:fldCharType="separate"/>
          </w:r>
          <w:r>
            <w:rPr>
              <w:rFonts w:hint="eastAsia" w:asciiTheme="minorEastAsia" w:hAnsiTheme="minorEastAsia" w:eastAsiaTheme="minorEastAsia" w:cstheme="minorEastAsia"/>
              <w:b/>
              <w:bCs/>
              <w:color w:val="auto"/>
              <w:sz w:val="28"/>
              <w:szCs w:val="44"/>
            </w:rPr>
            <w:t>二、绩效评价工作开展情况</w:t>
          </w:r>
          <w:r>
            <w:rPr>
              <w:b/>
              <w:color w:val="auto"/>
              <w:sz w:val="28"/>
              <w:szCs w:val="28"/>
            </w:rPr>
            <w:tab/>
          </w:r>
          <w:r>
            <w:rPr>
              <w:b/>
              <w:color w:val="auto"/>
              <w:sz w:val="28"/>
              <w:szCs w:val="28"/>
            </w:rPr>
            <w:fldChar w:fldCharType="begin"/>
          </w:r>
          <w:r>
            <w:rPr>
              <w:b/>
              <w:color w:val="auto"/>
              <w:sz w:val="28"/>
              <w:szCs w:val="28"/>
            </w:rPr>
            <w:instrText xml:space="preserve"> PAGEREF _Toc28350 \h </w:instrText>
          </w:r>
          <w:r>
            <w:rPr>
              <w:b/>
              <w:color w:val="auto"/>
              <w:sz w:val="28"/>
              <w:szCs w:val="28"/>
            </w:rPr>
            <w:fldChar w:fldCharType="separate"/>
          </w:r>
          <w:r>
            <w:rPr>
              <w:b/>
              <w:color w:val="auto"/>
              <w:sz w:val="28"/>
              <w:szCs w:val="28"/>
            </w:rPr>
            <w:t>4</w:t>
          </w:r>
          <w:r>
            <w:rPr>
              <w:b/>
              <w:color w:val="auto"/>
              <w:sz w:val="28"/>
              <w:szCs w:val="28"/>
            </w:rPr>
            <w:fldChar w:fldCharType="end"/>
          </w:r>
          <w:r>
            <w:rPr>
              <w:rFonts w:hint="default" w:ascii="Times New Roman" w:hAnsi="Times New Roman" w:eastAsia="宋体" w:cs="Times New Roman"/>
              <w:b/>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_Toc23819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rPr>
            <w:t>（一）绩效评价目的、对象和范围</w:t>
          </w:r>
          <w:r>
            <w:rPr>
              <w:color w:val="auto"/>
              <w:sz w:val="28"/>
              <w:szCs w:val="28"/>
            </w:rPr>
            <w:tab/>
          </w:r>
          <w:r>
            <w:rPr>
              <w:color w:val="auto"/>
              <w:sz w:val="28"/>
              <w:szCs w:val="28"/>
            </w:rPr>
            <w:fldChar w:fldCharType="begin"/>
          </w:r>
          <w:r>
            <w:rPr>
              <w:color w:val="auto"/>
              <w:sz w:val="28"/>
              <w:szCs w:val="28"/>
            </w:rPr>
            <w:instrText xml:space="preserve"> PAGEREF _Toc23819 \h </w:instrText>
          </w:r>
          <w:r>
            <w:rPr>
              <w:color w:val="auto"/>
              <w:sz w:val="28"/>
              <w:szCs w:val="28"/>
            </w:rPr>
            <w:fldChar w:fldCharType="separate"/>
          </w:r>
          <w:r>
            <w:rPr>
              <w:color w:val="auto"/>
              <w:sz w:val="28"/>
              <w:szCs w:val="28"/>
            </w:rPr>
            <w:t>4</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_Toc2465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rPr>
            <w:t>（二）绩效评价原则、评价方法、评价标准等</w:t>
          </w:r>
          <w:r>
            <w:rPr>
              <w:color w:val="auto"/>
              <w:sz w:val="28"/>
              <w:szCs w:val="28"/>
            </w:rPr>
            <w:tab/>
          </w:r>
          <w:r>
            <w:rPr>
              <w:color w:val="auto"/>
              <w:sz w:val="28"/>
              <w:szCs w:val="28"/>
            </w:rPr>
            <w:fldChar w:fldCharType="begin"/>
          </w:r>
          <w:r>
            <w:rPr>
              <w:color w:val="auto"/>
              <w:sz w:val="28"/>
              <w:szCs w:val="28"/>
            </w:rPr>
            <w:instrText xml:space="preserve"> PAGEREF _Toc2465 \h </w:instrText>
          </w:r>
          <w:r>
            <w:rPr>
              <w:color w:val="auto"/>
              <w:sz w:val="28"/>
              <w:szCs w:val="28"/>
            </w:rPr>
            <w:fldChar w:fldCharType="separate"/>
          </w:r>
          <w:r>
            <w:rPr>
              <w:color w:val="auto"/>
              <w:sz w:val="28"/>
              <w:szCs w:val="28"/>
            </w:rPr>
            <w:t>4</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_Toc20827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highlight w:val="none"/>
            </w:rPr>
            <w:t>（三）绩效评价指标体系（附表说明）</w:t>
          </w:r>
          <w:r>
            <w:rPr>
              <w:color w:val="auto"/>
              <w:sz w:val="28"/>
              <w:szCs w:val="28"/>
            </w:rPr>
            <w:tab/>
          </w:r>
          <w:r>
            <w:rPr>
              <w:color w:val="auto"/>
              <w:sz w:val="28"/>
              <w:szCs w:val="28"/>
            </w:rPr>
            <w:fldChar w:fldCharType="begin"/>
          </w:r>
          <w:r>
            <w:rPr>
              <w:color w:val="auto"/>
              <w:sz w:val="28"/>
              <w:szCs w:val="28"/>
            </w:rPr>
            <w:instrText xml:space="preserve"> PAGEREF _Toc20827 \h </w:instrText>
          </w:r>
          <w:r>
            <w:rPr>
              <w:color w:val="auto"/>
              <w:sz w:val="28"/>
              <w:szCs w:val="28"/>
            </w:rPr>
            <w:fldChar w:fldCharType="separate"/>
          </w:r>
          <w:r>
            <w:rPr>
              <w:color w:val="auto"/>
              <w:sz w:val="28"/>
              <w:szCs w:val="28"/>
            </w:rPr>
            <w:t>7</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_Toc13803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rPr>
            <w:t>（四）评价人员组成</w:t>
          </w:r>
          <w:r>
            <w:rPr>
              <w:color w:val="auto"/>
              <w:sz w:val="28"/>
              <w:szCs w:val="28"/>
            </w:rPr>
            <w:tab/>
          </w:r>
          <w:r>
            <w:rPr>
              <w:color w:val="auto"/>
              <w:sz w:val="28"/>
              <w:szCs w:val="28"/>
            </w:rPr>
            <w:fldChar w:fldCharType="begin"/>
          </w:r>
          <w:r>
            <w:rPr>
              <w:color w:val="auto"/>
              <w:sz w:val="28"/>
              <w:szCs w:val="28"/>
            </w:rPr>
            <w:instrText xml:space="preserve"> PAGEREF _Toc13803 \h </w:instrText>
          </w:r>
          <w:r>
            <w:rPr>
              <w:color w:val="auto"/>
              <w:sz w:val="28"/>
              <w:szCs w:val="28"/>
            </w:rPr>
            <w:fldChar w:fldCharType="separate"/>
          </w:r>
          <w:r>
            <w:rPr>
              <w:color w:val="auto"/>
              <w:sz w:val="28"/>
              <w:szCs w:val="28"/>
            </w:rPr>
            <w:t>12</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_Toc10354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rPr>
            <w:t>（五）绩效评价工作过程</w:t>
          </w:r>
          <w:r>
            <w:rPr>
              <w:color w:val="auto"/>
              <w:sz w:val="28"/>
              <w:szCs w:val="28"/>
            </w:rPr>
            <w:tab/>
          </w:r>
          <w:r>
            <w:rPr>
              <w:color w:val="auto"/>
              <w:sz w:val="28"/>
              <w:szCs w:val="28"/>
            </w:rPr>
            <w:fldChar w:fldCharType="begin"/>
          </w:r>
          <w:r>
            <w:rPr>
              <w:color w:val="auto"/>
              <w:sz w:val="28"/>
              <w:szCs w:val="28"/>
            </w:rPr>
            <w:instrText xml:space="preserve"> PAGEREF _Toc10354 \h </w:instrText>
          </w:r>
          <w:r>
            <w:rPr>
              <w:color w:val="auto"/>
              <w:sz w:val="28"/>
              <w:szCs w:val="28"/>
            </w:rPr>
            <w:fldChar w:fldCharType="separate"/>
          </w:r>
          <w:r>
            <w:rPr>
              <w:color w:val="auto"/>
              <w:sz w:val="28"/>
              <w:szCs w:val="28"/>
            </w:rPr>
            <w:t>13</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4"/>
            <w:tabs>
              <w:tab w:val="right" w:leader="dot" w:pos="9072"/>
            </w:tabs>
            <w:rPr>
              <w:b/>
              <w:color w:val="auto"/>
              <w:sz w:val="28"/>
              <w:szCs w:val="28"/>
            </w:rPr>
          </w:pPr>
          <w:r>
            <w:rPr>
              <w:rFonts w:hint="default" w:ascii="Times New Roman" w:hAnsi="Times New Roman" w:eastAsia="宋体" w:cs="Times New Roman"/>
              <w:b/>
              <w:color w:val="auto"/>
              <w:sz w:val="28"/>
              <w:szCs w:val="48"/>
            </w:rPr>
            <w:fldChar w:fldCharType="begin"/>
          </w:r>
          <w:r>
            <w:rPr>
              <w:rFonts w:hint="default" w:ascii="Times New Roman" w:hAnsi="Times New Roman" w:eastAsia="宋体" w:cs="Times New Roman"/>
              <w:b/>
              <w:color w:val="auto"/>
              <w:sz w:val="28"/>
              <w:szCs w:val="48"/>
            </w:rPr>
            <w:instrText xml:space="preserve"> HYPERLINK \l _Toc13802 </w:instrText>
          </w:r>
          <w:r>
            <w:rPr>
              <w:rFonts w:hint="default" w:ascii="Times New Roman" w:hAnsi="Times New Roman" w:eastAsia="宋体" w:cs="Times New Roman"/>
              <w:b/>
              <w:color w:val="auto"/>
              <w:sz w:val="28"/>
              <w:szCs w:val="48"/>
            </w:rPr>
            <w:fldChar w:fldCharType="separate"/>
          </w:r>
          <w:r>
            <w:rPr>
              <w:rFonts w:hint="eastAsia" w:asciiTheme="minorEastAsia" w:hAnsiTheme="minorEastAsia" w:eastAsiaTheme="minorEastAsia" w:cstheme="minorEastAsia"/>
              <w:b/>
              <w:bCs/>
              <w:color w:val="auto"/>
              <w:sz w:val="28"/>
              <w:szCs w:val="44"/>
            </w:rPr>
            <w:t>三、评价结论及分析</w:t>
          </w:r>
          <w:r>
            <w:rPr>
              <w:b/>
              <w:color w:val="auto"/>
              <w:sz w:val="28"/>
              <w:szCs w:val="28"/>
            </w:rPr>
            <w:tab/>
          </w:r>
          <w:r>
            <w:rPr>
              <w:b/>
              <w:color w:val="auto"/>
              <w:sz w:val="28"/>
              <w:szCs w:val="28"/>
            </w:rPr>
            <w:fldChar w:fldCharType="begin"/>
          </w:r>
          <w:r>
            <w:rPr>
              <w:b/>
              <w:color w:val="auto"/>
              <w:sz w:val="28"/>
              <w:szCs w:val="28"/>
            </w:rPr>
            <w:instrText xml:space="preserve"> PAGEREF _Toc13802 \h </w:instrText>
          </w:r>
          <w:r>
            <w:rPr>
              <w:b/>
              <w:color w:val="auto"/>
              <w:sz w:val="28"/>
              <w:szCs w:val="28"/>
            </w:rPr>
            <w:fldChar w:fldCharType="separate"/>
          </w:r>
          <w:r>
            <w:rPr>
              <w:b/>
              <w:color w:val="auto"/>
              <w:sz w:val="28"/>
              <w:szCs w:val="28"/>
            </w:rPr>
            <w:t>16</w:t>
          </w:r>
          <w:r>
            <w:rPr>
              <w:b/>
              <w:color w:val="auto"/>
              <w:sz w:val="28"/>
              <w:szCs w:val="28"/>
            </w:rPr>
            <w:fldChar w:fldCharType="end"/>
          </w:r>
          <w:r>
            <w:rPr>
              <w:rFonts w:hint="default" w:ascii="Times New Roman" w:hAnsi="Times New Roman" w:eastAsia="宋体" w:cs="Times New Roman"/>
              <w:b/>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_Toc19781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lang w:eastAsia="zh-CN"/>
            </w:rPr>
            <w:t>（一）</w:t>
          </w:r>
          <w:r>
            <w:rPr>
              <w:rFonts w:hint="eastAsia" w:asciiTheme="minorEastAsia" w:hAnsiTheme="minorEastAsia" w:eastAsiaTheme="minorEastAsia" w:cstheme="minorEastAsia"/>
              <w:bCs/>
              <w:color w:val="auto"/>
              <w:sz w:val="28"/>
              <w:szCs w:val="44"/>
            </w:rPr>
            <w:t>综合评价结论（附相关评分表）</w:t>
          </w:r>
          <w:r>
            <w:rPr>
              <w:color w:val="auto"/>
              <w:sz w:val="28"/>
              <w:szCs w:val="28"/>
            </w:rPr>
            <w:tab/>
          </w:r>
          <w:r>
            <w:rPr>
              <w:color w:val="auto"/>
              <w:sz w:val="28"/>
              <w:szCs w:val="28"/>
            </w:rPr>
            <w:fldChar w:fldCharType="begin"/>
          </w:r>
          <w:r>
            <w:rPr>
              <w:color w:val="auto"/>
              <w:sz w:val="28"/>
              <w:szCs w:val="28"/>
            </w:rPr>
            <w:instrText xml:space="preserve"> PAGEREF _Toc19781 \h </w:instrText>
          </w:r>
          <w:r>
            <w:rPr>
              <w:color w:val="auto"/>
              <w:sz w:val="28"/>
              <w:szCs w:val="28"/>
            </w:rPr>
            <w:fldChar w:fldCharType="separate"/>
          </w:r>
          <w:r>
            <w:rPr>
              <w:color w:val="auto"/>
              <w:sz w:val="28"/>
              <w:szCs w:val="28"/>
            </w:rPr>
            <w:t>16</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_Toc15132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rPr>
            <w:t>（二）非现场评价情况分析</w:t>
          </w:r>
          <w:r>
            <w:rPr>
              <w:color w:val="auto"/>
              <w:sz w:val="28"/>
              <w:szCs w:val="28"/>
            </w:rPr>
            <w:tab/>
          </w:r>
          <w:r>
            <w:rPr>
              <w:color w:val="auto"/>
              <w:sz w:val="28"/>
              <w:szCs w:val="28"/>
            </w:rPr>
            <w:fldChar w:fldCharType="begin"/>
          </w:r>
          <w:r>
            <w:rPr>
              <w:color w:val="auto"/>
              <w:sz w:val="28"/>
              <w:szCs w:val="28"/>
            </w:rPr>
            <w:instrText xml:space="preserve"> PAGEREF _Toc15132 \h </w:instrText>
          </w:r>
          <w:r>
            <w:rPr>
              <w:color w:val="auto"/>
              <w:sz w:val="28"/>
              <w:szCs w:val="28"/>
            </w:rPr>
            <w:fldChar w:fldCharType="separate"/>
          </w:r>
          <w:r>
            <w:rPr>
              <w:color w:val="auto"/>
              <w:sz w:val="28"/>
              <w:szCs w:val="28"/>
            </w:rPr>
            <w:t>18</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_Toc15443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lang w:eastAsia="zh-CN"/>
            </w:rPr>
            <w:t>（</w:t>
          </w:r>
          <w:r>
            <w:rPr>
              <w:rFonts w:hint="eastAsia" w:asciiTheme="minorEastAsia" w:hAnsiTheme="minorEastAsia" w:eastAsiaTheme="minorEastAsia" w:cstheme="minorEastAsia"/>
              <w:bCs/>
              <w:color w:val="auto"/>
              <w:sz w:val="28"/>
              <w:szCs w:val="44"/>
              <w:lang w:val="en-US" w:eastAsia="zh-CN"/>
            </w:rPr>
            <w:t>三）</w:t>
          </w:r>
          <w:r>
            <w:rPr>
              <w:rFonts w:hint="eastAsia" w:asciiTheme="minorEastAsia" w:hAnsiTheme="minorEastAsia" w:eastAsiaTheme="minorEastAsia" w:cstheme="minorEastAsia"/>
              <w:bCs/>
              <w:color w:val="auto"/>
              <w:sz w:val="28"/>
              <w:szCs w:val="44"/>
            </w:rPr>
            <w:t>现场评价情况分析</w:t>
          </w:r>
          <w:r>
            <w:rPr>
              <w:color w:val="auto"/>
              <w:sz w:val="28"/>
              <w:szCs w:val="28"/>
            </w:rPr>
            <w:tab/>
          </w:r>
          <w:r>
            <w:rPr>
              <w:color w:val="auto"/>
              <w:sz w:val="28"/>
              <w:szCs w:val="28"/>
            </w:rPr>
            <w:fldChar w:fldCharType="begin"/>
          </w:r>
          <w:r>
            <w:rPr>
              <w:color w:val="auto"/>
              <w:sz w:val="28"/>
              <w:szCs w:val="28"/>
            </w:rPr>
            <w:instrText xml:space="preserve"> PAGEREF _Toc15443 \h </w:instrText>
          </w:r>
          <w:r>
            <w:rPr>
              <w:color w:val="auto"/>
              <w:sz w:val="28"/>
              <w:szCs w:val="28"/>
            </w:rPr>
            <w:fldChar w:fldCharType="separate"/>
          </w:r>
          <w:r>
            <w:rPr>
              <w:color w:val="auto"/>
              <w:sz w:val="28"/>
              <w:szCs w:val="28"/>
            </w:rPr>
            <w:t>19</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_Toc25899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rPr>
            <w:t>（</w:t>
          </w:r>
          <w:r>
            <w:rPr>
              <w:rFonts w:hint="eastAsia" w:asciiTheme="minorEastAsia" w:hAnsiTheme="minorEastAsia" w:eastAsiaTheme="minorEastAsia" w:cstheme="minorEastAsia"/>
              <w:bCs/>
              <w:color w:val="auto"/>
              <w:sz w:val="28"/>
              <w:szCs w:val="44"/>
              <w:lang w:val="en-US" w:eastAsia="zh-CN"/>
            </w:rPr>
            <w:t>四</w:t>
          </w:r>
          <w:r>
            <w:rPr>
              <w:rFonts w:hint="eastAsia" w:asciiTheme="minorEastAsia" w:hAnsiTheme="minorEastAsia" w:eastAsiaTheme="minorEastAsia" w:cstheme="minorEastAsia"/>
              <w:bCs/>
              <w:color w:val="auto"/>
              <w:sz w:val="28"/>
              <w:szCs w:val="44"/>
            </w:rPr>
            <w:t>）分项评价得分及结论</w:t>
          </w:r>
          <w:r>
            <w:rPr>
              <w:color w:val="auto"/>
              <w:sz w:val="28"/>
              <w:szCs w:val="28"/>
            </w:rPr>
            <w:tab/>
          </w:r>
          <w:r>
            <w:rPr>
              <w:color w:val="auto"/>
              <w:sz w:val="28"/>
              <w:szCs w:val="28"/>
            </w:rPr>
            <w:fldChar w:fldCharType="begin"/>
          </w:r>
          <w:r>
            <w:rPr>
              <w:color w:val="auto"/>
              <w:sz w:val="28"/>
              <w:szCs w:val="28"/>
            </w:rPr>
            <w:instrText xml:space="preserve"> PAGEREF _Toc25899 \h </w:instrText>
          </w:r>
          <w:r>
            <w:rPr>
              <w:color w:val="auto"/>
              <w:sz w:val="28"/>
              <w:szCs w:val="28"/>
            </w:rPr>
            <w:fldChar w:fldCharType="separate"/>
          </w:r>
          <w:r>
            <w:rPr>
              <w:color w:val="auto"/>
              <w:sz w:val="28"/>
              <w:szCs w:val="28"/>
            </w:rPr>
            <w:t>19</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4"/>
            <w:tabs>
              <w:tab w:val="right" w:leader="dot" w:pos="9072"/>
            </w:tabs>
            <w:rPr>
              <w:b/>
              <w:color w:val="auto"/>
              <w:sz w:val="28"/>
              <w:szCs w:val="28"/>
            </w:rPr>
          </w:pPr>
          <w:r>
            <w:rPr>
              <w:rFonts w:hint="default" w:ascii="Times New Roman" w:hAnsi="Times New Roman" w:eastAsia="宋体" w:cs="Times New Roman"/>
              <w:b/>
              <w:color w:val="auto"/>
              <w:sz w:val="28"/>
              <w:szCs w:val="48"/>
            </w:rPr>
            <w:fldChar w:fldCharType="begin"/>
          </w:r>
          <w:r>
            <w:rPr>
              <w:rFonts w:hint="default" w:ascii="Times New Roman" w:hAnsi="Times New Roman" w:eastAsia="宋体" w:cs="Times New Roman"/>
              <w:b/>
              <w:color w:val="auto"/>
              <w:sz w:val="28"/>
              <w:szCs w:val="48"/>
            </w:rPr>
            <w:instrText xml:space="preserve"> HYPERLINK \l _Toc32537 </w:instrText>
          </w:r>
          <w:r>
            <w:rPr>
              <w:rFonts w:hint="default" w:ascii="Times New Roman" w:hAnsi="Times New Roman" w:eastAsia="宋体" w:cs="Times New Roman"/>
              <w:b/>
              <w:color w:val="auto"/>
              <w:sz w:val="28"/>
              <w:szCs w:val="48"/>
            </w:rPr>
            <w:fldChar w:fldCharType="separate"/>
          </w:r>
          <w:r>
            <w:rPr>
              <w:rFonts w:hint="eastAsia" w:asciiTheme="minorEastAsia" w:hAnsiTheme="minorEastAsia" w:eastAsiaTheme="minorEastAsia" w:cstheme="minorEastAsia"/>
              <w:b/>
              <w:bCs/>
              <w:color w:val="auto"/>
              <w:sz w:val="28"/>
              <w:szCs w:val="44"/>
            </w:rPr>
            <w:t>四、绩效评价指标分析</w:t>
          </w:r>
          <w:r>
            <w:rPr>
              <w:b/>
              <w:color w:val="auto"/>
              <w:sz w:val="28"/>
              <w:szCs w:val="28"/>
            </w:rPr>
            <w:tab/>
          </w:r>
          <w:r>
            <w:rPr>
              <w:b/>
              <w:color w:val="auto"/>
              <w:sz w:val="28"/>
              <w:szCs w:val="28"/>
            </w:rPr>
            <w:fldChar w:fldCharType="begin"/>
          </w:r>
          <w:r>
            <w:rPr>
              <w:b/>
              <w:color w:val="auto"/>
              <w:sz w:val="28"/>
              <w:szCs w:val="28"/>
            </w:rPr>
            <w:instrText xml:space="preserve"> PAGEREF _Toc32537 \h </w:instrText>
          </w:r>
          <w:r>
            <w:rPr>
              <w:b/>
              <w:color w:val="auto"/>
              <w:sz w:val="28"/>
              <w:szCs w:val="28"/>
            </w:rPr>
            <w:fldChar w:fldCharType="separate"/>
          </w:r>
          <w:r>
            <w:rPr>
              <w:b/>
              <w:color w:val="auto"/>
              <w:sz w:val="28"/>
              <w:szCs w:val="28"/>
            </w:rPr>
            <w:t>19</w:t>
          </w:r>
          <w:r>
            <w:rPr>
              <w:b/>
              <w:color w:val="auto"/>
              <w:sz w:val="28"/>
              <w:szCs w:val="28"/>
            </w:rPr>
            <w:fldChar w:fldCharType="end"/>
          </w:r>
          <w:r>
            <w:rPr>
              <w:rFonts w:hint="default" w:ascii="Times New Roman" w:hAnsi="Times New Roman" w:eastAsia="宋体" w:cs="Times New Roman"/>
              <w:b/>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_Toc26139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highlight w:val="none"/>
            </w:rPr>
            <w:t>（一）部门决策情况</w:t>
          </w:r>
          <w:r>
            <w:rPr>
              <w:color w:val="auto"/>
              <w:sz w:val="28"/>
              <w:szCs w:val="28"/>
            </w:rPr>
            <w:tab/>
          </w:r>
          <w:r>
            <w:rPr>
              <w:color w:val="auto"/>
              <w:sz w:val="28"/>
              <w:szCs w:val="28"/>
            </w:rPr>
            <w:fldChar w:fldCharType="begin"/>
          </w:r>
          <w:r>
            <w:rPr>
              <w:color w:val="auto"/>
              <w:sz w:val="28"/>
              <w:szCs w:val="28"/>
            </w:rPr>
            <w:instrText xml:space="preserve"> PAGEREF _Toc26139 \h </w:instrText>
          </w:r>
          <w:r>
            <w:rPr>
              <w:color w:val="auto"/>
              <w:sz w:val="28"/>
              <w:szCs w:val="28"/>
            </w:rPr>
            <w:fldChar w:fldCharType="separate"/>
          </w:r>
          <w:r>
            <w:rPr>
              <w:color w:val="auto"/>
              <w:sz w:val="28"/>
              <w:szCs w:val="28"/>
            </w:rPr>
            <w:t>19</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_Toc31780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highlight w:val="none"/>
            </w:rPr>
            <w:t>（二）部门管理情况</w:t>
          </w:r>
          <w:r>
            <w:rPr>
              <w:color w:val="auto"/>
              <w:sz w:val="28"/>
              <w:szCs w:val="28"/>
            </w:rPr>
            <w:tab/>
          </w:r>
          <w:r>
            <w:rPr>
              <w:color w:val="auto"/>
              <w:sz w:val="28"/>
              <w:szCs w:val="28"/>
            </w:rPr>
            <w:fldChar w:fldCharType="begin"/>
          </w:r>
          <w:r>
            <w:rPr>
              <w:color w:val="auto"/>
              <w:sz w:val="28"/>
              <w:szCs w:val="28"/>
            </w:rPr>
            <w:instrText xml:space="preserve"> PAGEREF _Toc31780 \h </w:instrText>
          </w:r>
          <w:r>
            <w:rPr>
              <w:color w:val="auto"/>
              <w:sz w:val="28"/>
              <w:szCs w:val="28"/>
            </w:rPr>
            <w:fldChar w:fldCharType="separate"/>
          </w:r>
          <w:r>
            <w:rPr>
              <w:color w:val="auto"/>
              <w:sz w:val="28"/>
              <w:szCs w:val="28"/>
            </w:rPr>
            <w:t>21</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_Toc23696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bCs/>
              <w:color w:val="auto"/>
              <w:sz w:val="28"/>
              <w:szCs w:val="44"/>
              <w:highlight w:val="none"/>
            </w:rPr>
            <w:t>（三）</w:t>
          </w:r>
          <w:r>
            <w:rPr>
              <w:rFonts w:hint="eastAsia" w:asciiTheme="minorEastAsia" w:hAnsiTheme="minorEastAsia" w:eastAsiaTheme="minorEastAsia" w:cstheme="minorEastAsia"/>
              <w:bCs/>
              <w:color w:val="auto"/>
              <w:sz w:val="28"/>
              <w:szCs w:val="44"/>
              <w:highlight w:val="none"/>
              <w:lang w:eastAsia="zh-CN"/>
            </w:rPr>
            <w:t>部门绩效</w:t>
          </w:r>
          <w:r>
            <w:rPr>
              <w:rFonts w:hint="eastAsia" w:asciiTheme="minorEastAsia" w:hAnsiTheme="minorEastAsia" w:eastAsiaTheme="minorEastAsia" w:cstheme="minorEastAsia"/>
              <w:bCs/>
              <w:color w:val="auto"/>
              <w:sz w:val="28"/>
              <w:szCs w:val="44"/>
              <w:highlight w:val="none"/>
            </w:rPr>
            <w:t>情况</w:t>
          </w:r>
          <w:r>
            <w:rPr>
              <w:color w:val="auto"/>
              <w:sz w:val="28"/>
              <w:szCs w:val="28"/>
            </w:rPr>
            <w:tab/>
          </w:r>
          <w:r>
            <w:rPr>
              <w:color w:val="auto"/>
              <w:sz w:val="28"/>
              <w:szCs w:val="28"/>
            </w:rPr>
            <w:fldChar w:fldCharType="begin"/>
          </w:r>
          <w:r>
            <w:rPr>
              <w:color w:val="auto"/>
              <w:sz w:val="28"/>
              <w:szCs w:val="28"/>
            </w:rPr>
            <w:instrText xml:space="preserve"> PAGEREF _Toc23696 \h </w:instrText>
          </w:r>
          <w:r>
            <w:rPr>
              <w:color w:val="auto"/>
              <w:sz w:val="28"/>
              <w:szCs w:val="28"/>
            </w:rPr>
            <w:fldChar w:fldCharType="separate"/>
          </w:r>
          <w:r>
            <w:rPr>
              <w:color w:val="auto"/>
              <w:sz w:val="28"/>
              <w:szCs w:val="28"/>
            </w:rPr>
            <w:t>24</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4"/>
            <w:tabs>
              <w:tab w:val="right" w:leader="dot" w:pos="9072"/>
            </w:tabs>
            <w:rPr>
              <w:b/>
              <w:color w:val="auto"/>
              <w:sz w:val="28"/>
              <w:szCs w:val="28"/>
              <w:highlight w:val="none"/>
            </w:rPr>
          </w:pPr>
          <w:r>
            <w:rPr>
              <w:rFonts w:hint="default" w:ascii="Times New Roman" w:hAnsi="Times New Roman" w:eastAsia="宋体" w:cs="Times New Roman"/>
              <w:b/>
              <w:color w:val="auto"/>
              <w:sz w:val="28"/>
              <w:szCs w:val="48"/>
              <w:highlight w:val="none"/>
            </w:rPr>
            <w:fldChar w:fldCharType="begin"/>
          </w:r>
          <w:r>
            <w:rPr>
              <w:rFonts w:hint="default" w:ascii="Times New Roman" w:hAnsi="Times New Roman" w:eastAsia="宋体" w:cs="Times New Roman"/>
              <w:b/>
              <w:color w:val="auto"/>
              <w:sz w:val="28"/>
              <w:szCs w:val="48"/>
              <w:highlight w:val="none"/>
            </w:rPr>
            <w:instrText xml:space="preserve"> HYPERLINK \l _Toc2212 </w:instrText>
          </w:r>
          <w:r>
            <w:rPr>
              <w:rFonts w:hint="default" w:ascii="Times New Roman" w:hAnsi="Times New Roman" w:eastAsia="宋体" w:cs="Times New Roman"/>
              <w:b/>
              <w:color w:val="auto"/>
              <w:sz w:val="28"/>
              <w:szCs w:val="48"/>
              <w:highlight w:val="none"/>
            </w:rPr>
            <w:fldChar w:fldCharType="separate"/>
          </w:r>
          <w:r>
            <w:rPr>
              <w:rFonts w:hint="eastAsia" w:asciiTheme="minorEastAsia" w:hAnsiTheme="minorEastAsia" w:eastAsiaTheme="minorEastAsia" w:cstheme="minorEastAsia"/>
              <w:b/>
              <w:bCs/>
              <w:color w:val="auto"/>
              <w:sz w:val="28"/>
              <w:szCs w:val="44"/>
              <w:highlight w:val="none"/>
              <w:lang w:val="en-US" w:eastAsia="zh-CN" w:bidi="ar-SA"/>
            </w:rPr>
            <w:t>五、项目主要经验及做法</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_Toc2212 \h </w:instrText>
          </w:r>
          <w:r>
            <w:rPr>
              <w:b/>
              <w:color w:val="auto"/>
              <w:sz w:val="28"/>
              <w:szCs w:val="28"/>
              <w:highlight w:val="none"/>
            </w:rPr>
            <w:fldChar w:fldCharType="separate"/>
          </w:r>
          <w:r>
            <w:rPr>
              <w:b/>
              <w:color w:val="auto"/>
              <w:sz w:val="28"/>
              <w:szCs w:val="28"/>
              <w:highlight w:val="none"/>
            </w:rPr>
            <w:t>27</w:t>
          </w:r>
          <w:r>
            <w:rPr>
              <w:b/>
              <w:color w:val="auto"/>
              <w:sz w:val="28"/>
              <w:szCs w:val="28"/>
              <w:highlight w:val="none"/>
            </w:rPr>
            <w:fldChar w:fldCharType="end"/>
          </w:r>
          <w:r>
            <w:rPr>
              <w:rFonts w:hint="default" w:ascii="Times New Roman" w:hAnsi="Times New Roman" w:eastAsia="宋体" w:cs="Times New Roman"/>
              <w:b/>
              <w:color w:val="auto"/>
              <w:sz w:val="28"/>
              <w:szCs w:val="48"/>
              <w:highlight w:val="none"/>
            </w:rPr>
            <w:fldChar w:fldCharType="end"/>
          </w:r>
        </w:p>
        <w:p>
          <w:pPr>
            <w:pStyle w:val="24"/>
            <w:tabs>
              <w:tab w:val="right" w:leader="dot" w:pos="9072"/>
            </w:tabs>
            <w:rPr>
              <w:b/>
              <w:color w:val="auto"/>
              <w:sz w:val="28"/>
              <w:szCs w:val="28"/>
            </w:rPr>
          </w:pPr>
          <w:r>
            <w:rPr>
              <w:rFonts w:hint="default" w:ascii="Times New Roman" w:hAnsi="Times New Roman" w:eastAsia="宋体" w:cs="Times New Roman"/>
              <w:b/>
              <w:color w:val="auto"/>
              <w:sz w:val="28"/>
              <w:szCs w:val="48"/>
            </w:rPr>
            <w:fldChar w:fldCharType="begin"/>
          </w:r>
          <w:r>
            <w:rPr>
              <w:rFonts w:hint="default" w:ascii="Times New Roman" w:hAnsi="Times New Roman" w:eastAsia="宋体" w:cs="Times New Roman"/>
              <w:b/>
              <w:color w:val="auto"/>
              <w:sz w:val="28"/>
              <w:szCs w:val="48"/>
            </w:rPr>
            <w:instrText xml:space="preserve"> HYPERLINK \l _Toc15763 </w:instrText>
          </w:r>
          <w:r>
            <w:rPr>
              <w:rFonts w:hint="default" w:ascii="Times New Roman" w:hAnsi="Times New Roman" w:eastAsia="宋体" w:cs="Times New Roman"/>
              <w:b/>
              <w:color w:val="auto"/>
              <w:sz w:val="28"/>
              <w:szCs w:val="48"/>
            </w:rPr>
            <w:fldChar w:fldCharType="separate"/>
          </w:r>
          <w:r>
            <w:rPr>
              <w:rFonts w:hint="eastAsia" w:asciiTheme="minorEastAsia" w:hAnsiTheme="minorEastAsia" w:eastAsiaTheme="minorEastAsia" w:cstheme="minorEastAsia"/>
              <w:b/>
              <w:bCs/>
              <w:color w:val="auto"/>
              <w:sz w:val="28"/>
              <w:szCs w:val="44"/>
            </w:rPr>
            <w:t xml:space="preserve">六、 </w:t>
          </w:r>
          <w:r>
            <w:rPr>
              <w:rFonts w:hint="eastAsia" w:asciiTheme="minorEastAsia" w:hAnsiTheme="minorEastAsia" w:eastAsiaTheme="minorEastAsia" w:cstheme="minorEastAsia"/>
              <w:b/>
              <w:bCs/>
              <w:color w:val="auto"/>
              <w:sz w:val="28"/>
              <w:szCs w:val="44"/>
              <w:highlight w:val="none"/>
            </w:rPr>
            <w:t>存在的问题及原因分析</w:t>
          </w:r>
          <w:r>
            <w:rPr>
              <w:b/>
              <w:color w:val="auto"/>
              <w:sz w:val="28"/>
              <w:szCs w:val="28"/>
            </w:rPr>
            <w:tab/>
          </w:r>
          <w:r>
            <w:rPr>
              <w:b/>
              <w:color w:val="auto"/>
              <w:sz w:val="28"/>
              <w:szCs w:val="28"/>
            </w:rPr>
            <w:fldChar w:fldCharType="begin"/>
          </w:r>
          <w:r>
            <w:rPr>
              <w:b/>
              <w:color w:val="auto"/>
              <w:sz w:val="28"/>
              <w:szCs w:val="28"/>
            </w:rPr>
            <w:instrText xml:space="preserve"> PAGEREF _Toc15763 \h </w:instrText>
          </w:r>
          <w:r>
            <w:rPr>
              <w:b/>
              <w:color w:val="auto"/>
              <w:sz w:val="28"/>
              <w:szCs w:val="28"/>
            </w:rPr>
            <w:fldChar w:fldCharType="separate"/>
          </w:r>
          <w:r>
            <w:rPr>
              <w:b/>
              <w:color w:val="auto"/>
              <w:sz w:val="28"/>
              <w:szCs w:val="28"/>
            </w:rPr>
            <w:t>27</w:t>
          </w:r>
          <w:r>
            <w:rPr>
              <w:b/>
              <w:color w:val="auto"/>
              <w:sz w:val="28"/>
              <w:szCs w:val="28"/>
            </w:rPr>
            <w:fldChar w:fldCharType="end"/>
          </w:r>
          <w:r>
            <w:rPr>
              <w:rFonts w:hint="default" w:ascii="Times New Roman" w:hAnsi="Times New Roman" w:eastAsia="宋体" w:cs="Times New Roman"/>
              <w:b/>
              <w:color w:val="auto"/>
              <w:sz w:val="28"/>
              <w:szCs w:val="48"/>
            </w:rPr>
            <w:fldChar w:fldCharType="end"/>
          </w:r>
        </w:p>
        <w:p>
          <w:pPr>
            <w:pStyle w:val="24"/>
            <w:tabs>
              <w:tab w:val="right" w:leader="dot" w:pos="9072"/>
            </w:tabs>
            <w:rPr>
              <w:b/>
              <w:color w:val="auto"/>
              <w:sz w:val="28"/>
              <w:szCs w:val="28"/>
            </w:rPr>
          </w:pPr>
          <w:r>
            <w:rPr>
              <w:rFonts w:hint="default" w:ascii="Times New Roman" w:hAnsi="Times New Roman" w:eastAsia="宋体" w:cs="Times New Roman"/>
              <w:b/>
              <w:color w:val="auto"/>
              <w:sz w:val="28"/>
              <w:szCs w:val="48"/>
            </w:rPr>
            <w:fldChar w:fldCharType="begin"/>
          </w:r>
          <w:r>
            <w:rPr>
              <w:rFonts w:hint="default" w:ascii="Times New Roman" w:hAnsi="Times New Roman" w:eastAsia="宋体" w:cs="Times New Roman"/>
              <w:b/>
              <w:color w:val="auto"/>
              <w:sz w:val="28"/>
              <w:szCs w:val="48"/>
            </w:rPr>
            <w:instrText xml:space="preserve"> HYPERLINK \l _Toc20400 </w:instrText>
          </w:r>
          <w:r>
            <w:rPr>
              <w:rFonts w:hint="default" w:ascii="Times New Roman" w:hAnsi="Times New Roman" w:eastAsia="宋体" w:cs="Times New Roman"/>
              <w:b/>
              <w:color w:val="auto"/>
              <w:sz w:val="28"/>
              <w:szCs w:val="48"/>
            </w:rPr>
            <w:fldChar w:fldCharType="separate"/>
          </w:r>
          <w:r>
            <w:rPr>
              <w:rFonts w:hint="eastAsia" w:asciiTheme="minorEastAsia" w:hAnsiTheme="minorEastAsia" w:eastAsiaTheme="minorEastAsia" w:cstheme="minorEastAsia"/>
              <w:b/>
              <w:bCs/>
              <w:color w:val="auto"/>
              <w:sz w:val="28"/>
              <w:szCs w:val="44"/>
            </w:rPr>
            <w:t>七、 意见建议</w:t>
          </w:r>
          <w:r>
            <w:rPr>
              <w:b/>
              <w:color w:val="auto"/>
              <w:sz w:val="28"/>
              <w:szCs w:val="28"/>
            </w:rPr>
            <w:tab/>
          </w:r>
          <w:r>
            <w:rPr>
              <w:b/>
              <w:color w:val="auto"/>
              <w:sz w:val="28"/>
              <w:szCs w:val="28"/>
            </w:rPr>
            <w:fldChar w:fldCharType="begin"/>
          </w:r>
          <w:r>
            <w:rPr>
              <w:b/>
              <w:color w:val="auto"/>
              <w:sz w:val="28"/>
              <w:szCs w:val="28"/>
            </w:rPr>
            <w:instrText xml:space="preserve"> PAGEREF _Toc20400 \h </w:instrText>
          </w:r>
          <w:r>
            <w:rPr>
              <w:b/>
              <w:color w:val="auto"/>
              <w:sz w:val="28"/>
              <w:szCs w:val="28"/>
            </w:rPr>
            <w:fldChar w:fldCharType="separate"/>
          </w:r>
          <w:r>
            <w:rPr>
              <w:b/>
              <w:color w:val="auto"/>
              <w:sz w:val="28"/>
              <w:szCs w:val="28"/>
            </w:rPr>
            <w:t>27</w:t>
          </w:r>
          <w:r>
            <w:rPr>
              <w:b/>
              <w:color w:val="auto"/>
              <w:sz w:val="28"/>
              <w:szCs w:val="28"/>
            </w:rPr>
            <w:fldChar w:fldCharType="end"/>
          </w:r>
          <w:r>
            <w:rPr>
              <w:rFonts w:hint="default" w:ascii="Times New Roman" w:hAnsi="Times New Roman" w:eastAsia="宋体" w:cs="Times New Roman"/>
              <w:b/>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_Toc12618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color w:val="auto"/>
              <w:sz w:val="28"/>
              <w:szCs w:val="44"/>
              <w:lang w:val="en-US" w:eastAsia="zh-CN" w:bidi="ar-SA"/>
            </w:rPr>
            <w:t>（一）提升绩效目标编制质量，提高资金使用绩效</w:t>
          </w:r>
          <w:r>
            <w:rPr>
              <w:color w:val="auto"/>
              <w:sz w:val="28"/>
              <w:szCs w:val="28"/>
            </w:rPr>
            <w:tab/>
          </w:r>
          <w:r>
            <w:rPr>
              <w:color w:val="auto"/>
              <w:sz w:val="28"/>
              <w:szCs w:val="28"/>
            </w:rPr>
            <w:fldChar w:fldCharType="begin"/>
          </w:r>
          <w:r>
            <w:rPr>
              <w:color w:val="auto"/>
              <w:sz w:val="28"/>
              <w:szCs w:val="28"/>
            </w:rPr>
            <w:instrText xml:space="preserve"> PAGEREF _Toc12618 \h </w:instrText>
          </w:r>
          <w:r>
            <w:rPr>
              <w:color w:val="auto"/>
              <w:sz w:val="28"/>
              <w:szCs w:val="28"/>
            </w:rPr>
            <w:fldChar w:fldCharType="separate"/>
          </w:r>
          <w:r>
            <w:rPr>
              <w:color w:val="auto"/>
              <w:sz w:val="28"/>
              <w:szCs w:val="28"/>
            </w:rPr>
            <w:t>27</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4"/>
            <w:tabs>
              <w:tab w:val="right" w:leader="dot" w:pos="9072"/>
            </w:tabs>
            <w:rPr>
              <w:b/>
              <w:color w:val="auto"/>
              <w:sz w:val="28"/>
              <w:szCs w:val="28"/>
            </w:rPr>
          </w:pPr>
          <w:r>
            <w:rPr>
              <w:rFonts w:hint="default" w:ascii="Times New Roman" w:hAnsi="Times New Roman" w:eastAsia="宋体" w:cs="Times New Roman"/>
              <w:b/>
              <w:color w:val="auto"/>
              <w:sz w:val="28"/>
              <w:szCs w:val="48"/>
            </w:rPr>
            <w:fldChar w:fldCharType="begin"/>
          </w:r>
          <w:r>
            <w:rPr>
              <w:rFonts w:hint="default" w:ascii="Times New Roman" w:hAnsi="Times New Roman" w:eastAsia="宋体" w:cs="Times New Roman"/>
              <w:b/>
              <w:color w:val="auto"/>
              <w:sz w:val="28"/>
              <w:szCs w:val="48"/>
            </w:rPr>
            <w:instrText xml:space="preserve"> HYPERLINK \l _Toc1182 </w:instrText>
          </w:r>
          <w:r>
            <w:rPr>
              <w:rFonts w:hint="default" w:ascii="Times New Roman" w:hAnsi="Times New Roman" w:eastAsia="宋体" w:cs="Times New Roman"/>
              <w:b/>
              <w:color w:val="auto"/>
              <w:sz w:val="28"/>
              <w:szCs w:val="48"/>
            </w:rPr>
            <w:fldChar w:fldCharType="separate"/>
          </w:r>
          <w:r>
            <w:rPr>
              <w:rFonts w:hint="eastAsia" w:asciiTheme="minorEastAsia" w:hAnsiTheme="minorEastAsia" w:eastAsiaTheme="minorEastAsia" w:cstheme="minorEastAsia"/>
              <w:b/>
              <w:bCs/>
              <w:color w:val="auto"/>
              <w:sz w:val="28"/>
              <w:szCs w:val="44"/>
            </w:rPr>
            <w:t>八、其他需要说明的问题</w:t>
          </w:r>
          <w:r>
            <w:rPr>
              <w:b/>
              <w:color w:val="auto"/>
              <w:sz w:val="28"/>
              <w:szCs w:val="28"/>
            </w:rPr>
            <w:tab/>
          </w:r>
          <w:r>
            <w:rPr>
              <w:b/>
              <w:color w:val="auto"/>
              <w:sz w:val="28"/>
              <w:szCs w:val="28"/>
            </w:rPr>
            <w:fldChar w:fldCharType="begin"/>
          </w:r>
          <w:r>
            <w:rPr>
              <w:b/>
              <w:color w:val="auto"/>
              <w:sz w:val="28"/>
              <w:szCs w:val="28"/>
            </w:rPr>
            <w:instrText xml:space="preserve"> PAGEREF _Toc1182 \h </w:instrText>
          </w:r>
          <w:r>
            <w:rPr>
              <w:b/>
              <w:color w:val="auto"/>
              <w:sz w:val="28"/>
              <w:szCs w:val="28"/>
            </w:rPr>
            <w:fldChar w:fldCharType="separate"/>
          </w:r>
          <w:r>
            <w:rPr>
              <w:b/>
              <w:color w:val="auto"/>
              <w:sz w:val="28"/>
              <w:szCs w:val="28"/>
            </w:rPr>
            <w:t>28</w:t>
          </w:r>
          <w:r>
            <w:rPr>
              <w:b/>
              <w:color w:val="auto"/>
              <w:sz w:val="28"/>
              <w:szCs w:val="28"/>
            </w:rPr>
            <w:fldChar w:fldCharType="end"/>
          </w:r>
          <w:r>
            <w:rPr>
              <w:rFonts w:hint="default" w:ascii="Times New Roman" w:hAnsi="Times New Roman" w:eastAsia="宋体" w:cs="Times New Roman"/>
              <w:b/>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_Toc8811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color w:val="auto"/>
              <w:sz w:val="28"/>
              <w:szCs w:val="44"/>
              <w:lang w:val="en-US" w:eastAsia="zh-CN" w:bidi="ar-SA"/>
            </w:rPr>
            <w:t>(一)关于评价责任的说明</w:t>
          </w:r>
          <w:r>
            <w:rPr>
              <w:color w:val="auto"/>
              <w:sz w:val="28"/>
              <w:szCs w:val="28"/>
            </w:rPr>
            <w:tab/>
          </w:r>
          <w:r>
            <w:rPr>
              <w:color w:val="auto"/>
              <w:sz w:val="28"/>
              <w:szCs w:val="28"/>
            </w:rPr>
            <w:fldChar w:fldCharType="begin"/>
          </w:r>
          <w:r>
            <w:rPr>
              <w:color w:val="auto"/>
              <w:sz w:val="28"/>
              <w:szCs w:val="28"/>
            </w:rPr>
            <w:instrText xml:space="preserve"> PAGEREF _Toc8811 \h </w:instrText>
          </w:r>
          <w:r>
            <w:rPr>
              <w:color w:val="auto"/>
              <w:sz w:val="28"/>
              <w:szCs w:val="28"/>
            </w:rPr>
            <w:fldChar w:fldCharType="separate"/>
          </w:r>
          <w:r>
            <w:rPr>
              <w:color w:val="auto"/>
              <w:sz w:val="28"/>
              <w:szCs w:val="28"/>
            </w:rPr>
            <w:t>28</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_Toc16663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color w:val="auto"/>
              <w:sz w:val="28"/>
              <w:szCs w:val="44"/>
              <w:lang w:val="en-US" w:eastAsia="zh-CN" w:bidi="ar-SA"/>
            </w:rPr>
            <w:t>(二)关于影响本次绩效评价局限性的说明</w:t>
          </w:r>
          <w:r>
            <w:rPr>
              <w:color w:val="auto"/>
              <w:sz w:val="28"/>
              <w:szCs w:val="28"/>
            </w:rPr>
            <w:tab/>
          </w:r>
          <w:r>
            <w:rPr>
              <w:color w:val="auto"/>
              <w:sz w:val="28"/>
              <w:szCs w:val="28"/>
            </w:rPr>
            <w:fldChar w:fldCharType="begin"/>
          </w:r>
          <w:r>
            <w:rPr>
              <w:color w:val="auto"/>
              <w:sz w:val="28"/>
              <w:szCs w:val="28"/>
            </w:rPr>
            <w:instrText xml:space="preserve"> PAGEREF _Toc16663 \h </w:instrText>
          </w:r>
          <w:r>
            <w:rPr>
              <w:color w:val="auto"/>
              <w:sz w:val="28"/>
              <w:szCs w:val="28"/>
            </w:rPr>
            <w:fldChar w:fldCharType="separate"/>
          </w:r>
          <w:r>
            <w:rPr>
              <w:color w:val="auto"/>
              <w:sz w:val="28"/>
              <w:szCs w:val="28"/>
            </w:rPr>
            <w:t>29</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5"/>
            <w:tabs>
              <w:tab w:val="right" w:leader="dot" w:pos="9072"/>
            </w:tabs>
            <w:rPr>
              <w:color w:val="auto"/>
              <w:sz w:val="28"/>
              <w:szCs w:val="28"/>
            </w:rPr>
          </w:pPr>
          <w:r>
            <w:rPr>
              <w:rFonts w:hint="default" w:ascii="Times New Roman" w:hAnsi="Times New Roman" w:eastAsia="宋体" w:cs="Times New Roman"/>
              <w:color w:val="auto"/>
              <w:sz w:val="28"/>
              <w:szCs w:val="48"/>
            </w:rPr>
            <w:fldChar w:fldCharType="begin"/>
          </w:r>
          <w:r>
            <w:rPr>
              <w:rFonts w:hint="default" w:ascii="Times New Roman" w:hAnsi="Times New Roman" w:eastAsia="宋体" w:cs="Times New Roman"/>
              <w:color w:val="auto"/>
              <w:sz w:val="28"/>
              <w:szCs w:val="48"/>
            </w:rPr>
            <w:instrText xml:space="preserve"> HYPERLINK \l _Toc32391 </w:instrText>
          </w:r>
          <w:r>
            <w:rPr>
              <w:rFonts w:hint="default" w:ascii="Times New Roman" w:hAnsi="Times New Roman" w:eastAsia="宋体" w:cs="Times New Roman"/>
              <w:color w:val="auto"/>
              <w:sz w:val="28"/>
              <w:szCs w:val="48"/>
            </w:rPr>
            <w:fldChar w:fldCharType="separate"/>
          </w:r>
          <w:r>
            <w:rPr>
              <w:rFonts w:hint="eastAsia" w:asciiTheme="minorEastAsia" w:hAnsiTheme="minorEastAsia" w:eastAsiaTheme="minorEastAsia" w:cstheme="minorEastAsia"/>
              <w:color w:val="auto"/>
              <w:sz w:val="28"/>
              <w:szCs w:val="44"/>
              <w:lang w:val="en-US" w:eastAsia="zh-CN" w:bidi="ar-SA"/>
            </w:rPr>
            <w:t>(三)提示报告使用者注意事项的说明</w:t>
          </w:r>
          <w:r>
            <w:rPr>
              <w:color w:val="auto"/>
              <w:sz w:val="28"/>
              <w:szCs w:val="28"/>
            </w:rPr>
            <w:tab/>
          </w:r>
          <w:r>
            <w:rPr>
              <w:color w:val="auto"/>
              <w:sz w:val="28"/>
              <w:szCs w:val="28"/>
            </w:rPr>
            <w:fldChar w:fldCharType="begin"/>
          </w:r>
          <w:r>
            <w:rPr>
              <w:color w:val="auto"/>
              <w:sz w:val="28"/>
              <w:szCs w:val="28"/>
            </w:rPr>
            <w:instrText xml:space="preserve"> PAGEREF _Toc32391 \h </w:instrText>
          </w:r>
          <w:r>
            <w:rPr>
              <w:color w:val="auto"/>
              <w:sz w:val="28"/>
              <w:szCs w:val="28"/>
            </w:rPr>
            <w:fldChar w:fldCharType="separate"/>
          </w:r>
          <w:r>
            <w:rPr>
              <w:color w:val="auto"/>
              <w:sz w:val="28"/>
              <w:szCs w:val="28"/>
            </w:rPr>
            <w:t>29</w:t>
          </w:r>
          <w:r>
            <w:rPr>
              <w:color w:val="auto"/>
              <w:sz w:val="28"/>
              <w:szCs w:val="28"/>
            </w:rPr>
            <w:fldChar w:fldCharType="end"/>
          </w:r>
          <w:r>
            <w:rPr>
              <w:rFonts w:hint="default" w:ascii="Times New Roman" w:hAnsi="Times New Roman" w:eastAsia="宋体" w:cs="Times New Roman"/>
              <w:color w:val="auto"/>
              <w:sz w:val="28"/>
              <w:szCs w:val="48"/>
            </w:rPr>
            <w:fldChar w:fldCharType="end"/>
          </w:r>
        </w:p>
        <w:p>
          <w:pPr>
            <w:pStyle w:val="24"/>
            <w:tabs>
              <w:tab w:val="right" w:leader="dot" w:pos="9072"/>
            </w:tabs>
            <w:rPr>
              <w:b/>
              <w:color w:val="auto"/>
            </w:rPr>
          </w:pPr>
        </w:p>
        <w:p>
          <w:pPr>
            <w:widowControl w:val="0"/>
            <w:spacing w:line="360" w:lineRule="auto"/>
            <w:rPr>
              <w:rFonts w:hint="default" w:ascii="Times New Roman" w:hAnsi="Times New Roman" w:eastAsia="宋体" w:cs="Times New Roman"/>
              <w:color w:val="auto"/>
              <w:sz w:val="32"/>
              <w:szCs w:val="32"/>
            </w:rPr>
            <w:sectPr>
              <w:headerReference r:id="rId3" w:type="default"/>
              <w:pgSz w:w="11906" w:h="16838"/>
              <w:pgMar w:top="1134" w:right="1417" w:bottom="1134" w:left="1417" w:header="851" w:footer="992" w:gutter="0"/>
              <w:cols w:space="425" w:num="1"/>
              <w:docGrid w:type="lines" w:linePitch="312" w:charSpace="0"/>
            </w:sectPr>
          </w:pPr>
          <w:r>
            <w:rPr>
              <w:rFonts w:hint="default" w:ascii="Times New Roman" w:hAnsi="Times New Roman" w:eastAsia="宋体" w:cs="Times New Roman"/>
              <w:b/>
              <w:color w:val="auto"/>
              <w:szCs w:val="32"/>
            </w:rPr>
            <w:fldChar w:fldCharType="end"/>
          </w:r>
        </w:p>
      </w:sdtContent>
    </w:sdt>
    <w:p>
      <w:pPr>
        <w:spacing w:line="360" w:lineRule="auto"/>
        <w:jc w:val="center"/>
        <w:outlineLvl w:val="9"/>
        <w:rPr>
          <w:rFonts w:hint="eastAsia" w:cs="Times New Roman"/>
          <w:b/>
          <w:bCs/>
          <w:color w:val="auto"/>
          <w:sz w:val="36"/>
          <w:szCs w:val="36"/>
          <w:lang w:val="en-US" w:eastAsia="zh-CN"/>
        </w:rPr>
      </w:pPr>
      <w:bookmarkStart w:id="2" w:name="_Toc22929"/>
      <w:r>
        <w:rPr>
          <w:rFonts w:hint="eastAsia" w:cs="Times New Roman"/>
          <w:b/>
          <w:bCs/>
          <w:color w:val="auto"/>
          <w:sz w:val="36"/>
          <w:szCs w:val="36"/>
          <w:lang w:val="en-US" w:eastAsia="zh-CN"/>
        </w:rPr>
        <w:t>双鸭山市水务局2021年单位资金管理情况</w:t>
      </w:r>
      <w:bookmarkEnd w:id="2"/>
    </w:p>
    <w:p>
      <w:pPr>
        <w:spacing w:line="360" w:lineRule="auto"/>
        <w:jc w:val="center"/>
        <w:outlineLvl w:val="9"/>
        <w:rPr>
          <w:rFonts w:hint="default" w:ascii="Times New Roman" w:hAnsi="Times New Roman" w:eastAsia="宋体" w:cs="Times New Roman"/>
          <w:b/>
          <w:bCs/>
          <w:color w:val="auto"/>
          <w:sz w:val="36"/>
          <w:szCs w:val="36"/>
        </w:rPr>
      </w:pPr>
      <w:bookmarkStart w:id="3" w:name="_Toc31769"/>
      <w:r>
        <w:rPr>
          <w:rFonts w:hint="eastAsia" w:cs="Times New Roman"/>
          <w:b/>
          <w:bCs/>
          <w:color w:val="auto"/>
          <w:sz w:val="36"/>
          <w:szCs w:val="36"/>
          <w:lang w:val="en-US" w:eastAsia="zh-CN"/>
        </w:rPr>
        <w:t>全方位绩效评价报告</w:t>
      </w:r>
      <w:bookmarkEnd w:id="3"/>
    </w:p>
    <w:p>
      <w:pPr>
        <w:widowControl w:val="0"/>
        <w:spacing w:line="360" w:lineRule="auto"/>
        <w:ind w:firstLine="562" w:firstLineChars="200"/>
        <w:outlineLvl w:val="9"/>
        <w:rPr>
          <w:rFonts w:hint="default" w:asciiTheme="minorEastAsia" w:hAnsiTheme="minorEastAsia" w:eastAsiaTheme="minorEastAsia" w:cstheme="minorEastAsia"/>
          <w:b/>
          <w:bCs/>
          <w:color w:val="auto"/>
          <w:sz w:val="28"/>
          <w:szCs w:val="28"/>
          <w:highlight w:val="none"/>
          <w:lang w:val="en-US" w:eastAsia="zh-CN"/>
        </w:rPr>
      </w:pPr>
      <w:bookmarkStart w:id="4" w:name="_Toc17408"/>
      <w:bookmarkStart w:id="5" w:name="_Toc12579"/>
      <w:bookmarkStart w:id="6" w:name="_Toc22380"/>
      <w:r>
        <w:rPr>
          <w:rFonts w:hint="eastAsia" w:asciiTheme="minorEastAsia" w:hAnsiTheme="minorEastAsia" w:eastAsiaTheme="minorEastAsia" w:cstheme="minorEastAsia"/>
          <w:b/>
          <w:bCs/>
          <w:color w:val="auto"/>
          <w:sz w:val="28"/>
          <w:szCs w:val="28"/>
          <w:highlight w:val="none"/>
        </w:rPr>
        <w:t>一、</w:t>
      </w:r>
      <w:bookmarkEnd w:id="4"/>
      <w:bookmarkEnd w:id="5"/>
      <w:r>
        <w:rPr>
          <w:rFonts w:hint="eastAsia" w:asciiTheme="minorEastAsia" w:hAnsiTheme="minorEastAsia" w:eastAsiaTheme="minorEastAsia" w:cstheme="minorEastAsia"/>
          <w:b/>
          <w:bCs/>
          <w:color w:val="auto"/>
          <w:sz w:val="28"/>
          <w:szCs w:val="28"/>
          <w:highlight w:val="none"/>
          <w:lang w:val="en-US" w:eastAsia="zh-CN"/>
        </w:rPr>
        <w:t>基本情况</w:t>
      </w:r>
      <w:bookmarkEnd w:id="6"/>
    </w:p>
    <w:p>
      <w:pPr>
        <w:spacing w:line="360" w:lineRule="auto"/>
        <w:ind w:firstLine="562" w:firstLineChars="200"/>
        <w:outlineLvl w:val="1"/>
        <w:rPr>
          <w:rFonts w:hint="eastAsia" w:asciiTheme="minorEastAsia" w:hAnsiTheme="minorEastAsia" w:eastAsiaTheme="minorEastAsia" w:cstheme="minorEastAsia"/>
          <w:b/>
          <w:bCs/>
          <w:color w:val="auto"/>
          <w:sz w:val="28"/>
          <w:szCs w:val="28"/>
          <w:highlight w:val="none"/>
          <w:lang w:val="en-US" w:eastAsia="zh-CN" w:bidi="ar-SA"/>
        </w:rPr>
      </w:pPr>
      <w:bookmarkStart w:id="7" w:name="_Toc30173"/>
      <w:bookmarkStart w:id="8" w:name="_Toc2722"/>
      <w:r>
        <w:rPr>
          <w:rFonts w:hint="eastAsia" w:asciiTheme="minorEastAsia" w:hAnsiTheme="minorEastAsia" w:eastAsiaTheme="minorEastAsia" w:cstheme="minorEastAsia"/>
          <w:b/>
          <w:bCs/>
          <w:color w:val="auto"/>
          <w:sz w:val="28"/>
          <w:szCs w:val="28"/>
          <w:highlight w:val="none"/>
          <w:lang w:val="en-US" w:eastAsia="zh-CN" w:bidi="ar-SA"/>
        </w:rPr>
        <w:t>（一）</w:t>
      </w:r>
      <w:bookmarkEnd w:id="7"/>
      <w:r>
        <w:rPr>
          <w:rFonts w:hint="eastAsia" w:asciiTheme="minorEastAsia" w:hAnsiTheme="minorEastAsia" w:eastAsiaTheme="minorEastAsia" w:cstheme="minorEastAsia"/>
          <w:b/>
          <w:bCs/>
          <w:color w:val="auto"/>
          <w:sz w:val="28"/>
          <w:szCs w:val="28"/>
          <w:highlight w:val="none"/>
          <w:lang w:val="en-US" w:eastAsia="zh-CN" w:bidi="ar-SA"/>
        </w:rPr>
        <w:t>部门（单位）主要职责职能</w:t>
      </w:r>
      <w:bookmarkEnd w:id="8"/>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9" w:name="_Toc7096"/>
      <w:r>
        <w:rPr>
          <w:rFonts w:hint="eastAsia" w:asciiTheme="minorEastAsia" w:hAnsiTheme="minorEastAsia" w:eastAsiaTheme="minorEastAsia" w:cstheme="minorEastAsia"/>
          <w:color w:val="auto"/>
          <w:sz w:val="28"/>
          <w:szCs w:val="28"/>
          <w:highlight w:val="none"/>
          <w:lang w:val="en-US" w:eastAsia="zh-CN"/>
        </w:rPr>
        <w:t>双鸭山市水务局负责保障水资源的合理开发利用。负责生活、生产经营和生态环境用水的统筹和保障。按规定制定水利工程建设有关制度并组织实施。指导水资源保护工作。负责节约用水工作。指导水利设施、水域及其岸线的管理、保护与综合利用。指导监督水利工程建设与运行管理。负责水土保持工作。指导农村水利工作。</w:t>
      </w:r>
    </w:p>
    <w:p>
      <w:pPr>
        <w:numPr>
          <w:ilvl w:val="0"/>
          <w:numId w:val="0"/>
        </w:numPr>
        <w:spacing w:line="360" w:lineRule="auto"/>
        <w:ind w:firstLine="562" w:firstLineChars="200"/>
        <w:outlineLvl w:val="1"/>
        <w:rPr>
          <w:rFonts w:hint="eastAsia" w:asciiTheme="minorEastAsia" w:hAnsiTheme="minorEastAsia" w:eastAsiaTheme="minorEastAsia" w:cstheme="minorEastAsia"/>
          <w:b/>
          <w:bCs/>
          <w:color w:val="auto"/>
          <w:sz w:val="28"/>
          <w:szCs w:val="28"/>
          <w:highlight w:val="none"/>
          <w:lang w:val="en-US" w:eastAsia="zh-CN"/>
        </w:rPr>
      </w:pPr>
      <w:bookmarkStart w:id="10" w:name="_Toc14239"/>
      <w:r>
        <w:rPr>
          <w:rFonts w:hint="eastAsia" w:asciiTheme="minorEastAsia" w:hAnsiTheme="minorEastAsia" w:eastAsiaTheme="minorEastAsia" w:cstheme="minorEastAsia"/>
          <w:b/>
          <w:bCs/>
          <w:color w:val="auto"/>
          <w:sz w:val="28"/>
          <w:szCs w:val="28"/>
          <w:highlight w:val="none"/>
          <w:lang w:val="en-US" w:eastAsia="zh-CN"/>
        </w:rPr>
        <w:t>（二）部门主要架构</w:t>
      </w:r>
      <w:bookmarkEnd w:id="10"/>
    </w:p>
    <w:p>
      <w:pPr>
        <w:spacing w:line="360" w:lineRule="auto"/>
        <w:ind w:firstLine="560" w:firstLineChars="200"/>
        <w:outlineLvl w:val="9"/>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双鸭山市水务局设10个内设机构。行政科室5个：办公室、财务审计科、水资源与水土保持综合管理科、河湖长制工作科、水利建设管理科；事业单位5个：双鸭山市河湖管护中心（副处级单位）；双鸭山市水利工程质量安全保障中心、双鸭山市水利工程建设事业中心、双鸭山市水资源与节水技术中心、双鸭山市寒葱沟水库管护中心。</w:t>
      </w:r>
    </w:p>
    <w:p>
      <w:pPr>
        <w:spacing w:line="360" w:lineRule="auto"/>
        <w:ind w:firstLine="562" w:firstLineChars="200"/>
        <w:outlineLvl w:val="9"/>
        <w:rPr>
          <w:rFonts w:hint="eastAsia" w:asciiTheme="minorEastAsia" w:hAnsiTheme="minorEastAsia" w:eastAsiaTheme="minorEastAsia" w:cstheme="minorEastAsia"/>
          <w:b/>
          <w:bCs/>
          <w:color w:val="auto"/>
          <w:sz w:val="28"/>
          <w:szCs w:val="28"/>
          <w:highlight w:val="none"/>
          <w:lang w:val="en-US" w:eastAsia="zh-CN"/>
        </w:rPr>
      </w:pPr>
      <w:bookmarkStart w:id="11" w:name="2_2"/>
      <w:bookmarkEnd w:id="11"/>
      <w:bookmarkStart w:id="12" w:name="2-2"/>
      <w:bookmarkEnd w:id="12"/>
      <w:bookmarkStart w:id="13" w:name="sub10503372_2_2"/>
      <w:bookmarkEnd w:id="13"/>
      <w:bookmarkStart w:id="14" w:name="行政科室"/>
      <w:bookmarkEnd w:id="14"/>
      <w:r>
        <w:rPr>
          <w:rFonts w:hint="eastAsia" w:asciiTheme="minorEastAsia" w:hAnsiTheme="minorEastAsia" w:eastAsiaTheme="minorEastAsia" w:cstheme="minorEastAsia"/>
          <w:b/>
          <w:bCs/>
          <w:color w:val="auto"/>
          <w:sz w:val="28"/>
          <w:szCs w:val="28"/>
          <w:highlight w:val="none"/>
          <w:lang w:val="en-US" w:eastAsia="zh-CN"/>
        </w:rPr>
        <w:t>行政科室</w:t>
      </w:r>
    </w:p>
    <w:p>
      <w:pPr>
        <w:spacing w:line="360" w:lineRule="auto"/>
        <w:ind w:firstLine="560" w:firstLineChars="200"/>
        <w:outlineLvl w:val="9"/>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w:t>
      </w:r>
      <w:r>
        <w:rPr>
          <w:rFonts w:hint="default" w:asciiTheme="minorEastAsia" w:hAnsiTheme="minorEastAsia" w:eastAsiaTheme="minorEastAsia" w:cstheme="minorEastAsia"/>
          <w:color w:val="auto"/>
          <w:sz w:val="28"/>
          <w:szCs w:val="28"/>
          <w:highlight w:val="none"/>
          <w:lang w:val="en-US" w:eastAsia="zh-CN"/>
        </w:rPr>
        <w:t>办公室</w:t>
      </w:r>
    </w:p>
    <w:p>
      <w:pPr>
        <w:spacing w:line="360" w:lineRule="auto"/>
        <w:ind w:firstLine="560" w:firstLineChars="200"/>
        <w:outlineLvl w:val="9"/>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负责机关日常运转工作。承担信息、安全、保密、信访、政务公开、信息化、新闻宣传等工作。承担机关和所属单位的干部人事、机构编制、劳动工资、教育培训、离退休干部工作，指导水利行业人才队伍建设。承担水利体制改革的有关工作。</w:t>
      </w:r>
    </w:p>
    <w:p>
      <w:pPr>
        <w:spacing w:line="360" w:lineRule="auto"/>
        <w:ind w:firstLine="560" w:firstLineChars="200"/>
        <w:outlineLvl w:val="9"/>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w:t>
      </w:r>
      <w:r>
        <w:rPr>
          <w:rFonts w:hint="default" w:asciiTheme="minorEastAsia" w:hAnsiTheme="minorEastAsia" w:eastAsiaTheme="minorEastAsia" w:cstheme="minorEastAsia"/>
          <w:color w:val="auto"/>
          <w:sz w:val="28"/>
          <w:szCs w:val="28"/>
          <w:highlight w:val="none"/>
          <w:lang w:val="en-US" w:eastAsia="zh-CN"/>
        </w:rPr>
        <w:t>财务审计科</w:t>
      </w:r>
    </w:p>
    <w:p>
      <w:pPr>
        <w:spacing w:line="360" w:lineRule="auto"/>
        <w:ind w:firstLine="560" w:firstLineChars="200"/>
        <w:outlineLvl w:val="9"/>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负责</w:t>
      </w:r>
      <w:r>
        <w:rPr>
          <w:rFonts w:hint="eastAsia" w:asciiTheme="minorEastAsia" w:hAnsiTheme="minorEastAsia" w:eastAsiaTheme="minorEastAsia" w:cstheme="minorEastAsia"/>
          <w:color w:val="auto"/>
          <w:sz w:val="28"/>
          <w:szCs w:val="28"/>
          <w:highlight w:val="none"/>
          <w:lang w:val="en-US" w:eastAsia="zh-CN"/>
        </w:rPr>
        <w:t>编制市级水利部门预算并组织实施，承担财务管理和资产管理工作。组织提出市级水利财政资金安排建议，并统筹协调项目实施的监督管理和绩效评价工作。提出有关水利价格、税费、基金、信贷的建议。负责对市级水利资金的使用管理问题进行审计检查。对局直属单位内部审计工作进行指导监督。负责领导干部经济责任审计工作。</w:t>
      </w:r>
    </w:p>
    <w:p>
      <w:pPr>
        <w:pStyle w:val="2"/>
        <w:numPr>
          <w:ilvl w:val="0"/>
          <w:numId w:val="0"/>
        </w:numPr>
        <w:ind w:firstLine="560" w:firstLineChars="200"/>
        <w:rPr>
          <w:rFonts w:hint="default"/>
          <w:color w:val="auto"/>
          <w:lang w:val="en-US" w:eastAsia="zh-CN"/>
        </w:rPr>
      </w:pPr>
      <w:r>
        <w:rPr>
          <w:rFonts w:hint="eastAsia" w:asciiTheme="minorEastAsia" w:hAnsiTheme="minorEastAsia" w:eastAsiaTheme="minorEastAsia" w:cstheme="minorEastAsia"/>
          <w:color w:val="auto"/>
          <w:sz w:val="28"/>
          <w:szCs w:val="28"/>
          <w:highlight w:val="none"/>
          <w:lang w:val="en-US" w:eastAsia="zh-CN"/>
        </w:rPr>
        <w:t>3、水资源与水土保持综合管理科</w:t>
      </w:r>
      <w:r>
        <w:rPr>
          <w:rFonts w:hint="eastAsia"/>
          <w:color w:val="auto"/>
          <w:lang w:val="en-US" w:eastAsia="zh-CN"/>
        </w:rPr>
        <w:t xml:space="preserve">  </w:t>
      </w:r>
    </w:p>
    <w:p>
      <w:pPr>
        <w:numPr>
          <w:ilvl w:val="0"/>
          <w:numId w:val="0"/>
        </w:numPr>
        <w:spacing w:line="360" w:lineRule="auto"/>
        <w:ind w:firstLine="560" w:firstLineChars="200"/>
        <w:outlineLvl w:val="9"/>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承担实施最严格水资源管理制度相关工作，组织实施水资源取水许可、水资源论证等制度，指导开展水资源有偿使用工作。指导水量分配工作并监督实施，指导河湖生态流量水量管理。承担水土流失综合防治工作，组织编制水土保持规划并监督实施，组织水土流失监测预报工作，审核权限内生产建设项目水土保持方案并监督实施。</w:t>
      </w:r>
    </w:p>
    <w:p>
      <w:pPr>
        <w:spacing w:line="360" w:lineRule="auto"/>
        <w:ind w:firstLine="560" w:firstLineChars="200"/>
        <w:outlineLvl w:val="9"/>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4、河湖长制工作科</w:t>
      </w:r>
    </w:p>
    <w:p>
      <w:pPr>
        <w:numPr>
          <w:ilvl w:val="0"/>
          <w:numId w:val="0"/>
        </w:numPr>
        <w:spacing w:line="360" w:lineRule="auto"/>
        <w:ind w:firstLine="560" w:firstLineChars="200"/>
        <w:outlineLvl w:val="9"/>
        <w:rPr>
          <w:rFonts w:hint="eastAsia" w:asciiTheme="minorEastAsia" w:hAnsiTheme="minorEastAsia" w:eastAsiaTheme="minorEastAsia" w:cstheme="minorEastAsia"/>
          <w:color w:val="auto"/>
          <w:sz w:val="28"/>
          <w:szCs w:val="28"/>
          <w:highlight w:val="none"/>
          <w:lang w:val="en-US" w:eastAsia="zh-CN"/>
        </w:rPr>
      </w:pPr>
      <w:bookmarkStart w:id="15" w:name="2_3"/>
      <w:bookmarkEnd w:id="15"/>
      <w:bookmarkStart w:id="16" w:name="事业单位"/>
      <w:bookmarkEnd w:id="16"/>
      <w:bookmarkStart w:id="17" w:name="2-3"/>
      <w:bookmarkEnd w:id="17"/>
      <w:bookmarkStart w:id="18" w:name="sub10503372_2_3"/>
      <w:bookmarkEnd w:id="18"/>
      <w:r>
        <w:rPr>
          <w:rFonts w:hint="eastAsia" w:asciiTheme="minorEastAsia" w:hAnsiTheme="minorEastAsia" w:eastAsiaTheme="minorEastAsia" w:cstheme="minorEastAsia"/>
          <w:color w:val="auto"/>
          <w:sz w:val="28"/>
          <w:szCs w:val="28"/>
          <w:highlight w:val="none"/>
          <w:lang w:val="en-US" w:eastAsia="zh-CN"/>
        </w:rPr>
        <w:t>承担全市河湖长制组织实施具体工作，组织编制工作方案、计划和考核目标，组织拟定管理制度和政策研究，监督工作落实，组织实施考核，协调有关部门落实河湖长制主要任务。组织落实市总河湖长和市级河湖长会议确定事项。指导全市水域及其岸线的管理和保护，指导主要江河湖泊、河口、滩涂的开发、治理和保护，指导河湖水生态保护与修复以及河湖水系连通工作。</w:t>
      </w:r>
    </w:p>
    <w:p>
      <w:pPr>
        <w:pStyle w:val="2"/>
        <w:numPr>
          <w:ilvl w:val="0"/>
          <w:numId w:val="1"/>
        </w:numPr>
        <w:ind w:left="560" w:leftChars="0" w:firstLine="0" w:firstLineChars="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水利建设管理科</w:t>
      </w:r>
    </w:p>
    <w:p>
      <w:pPr>
        <w:pStyle w:val="2"/>
        <w:numPr>
          <w:ilvl w:val="0"/>
          <w:numId w:val="0"/>
        </w:numPr>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拟定全市水利战略规划，组织编制权限内水利综合规划、专业规划和专项规划。按照规定权限，审核内水利建设项目建议书、可行性研究报告、水利基本建设项目初步设计。组织指导有关防洪论证工作。组织指导水利建设项目合规性审查工作。组织提出水利基本建设投资安排建议，组织实施中央、省级和市级水利建设投资计划，承担水利统计工作。</w:t>
      </w:r>
    </w:p>
    <w:p>
      <w:pPr>
        <w:spacing w:line="360" w:lineRule="auto"/>
        <w:ind w:firstLine="562" w:firstLineChars="200"/>
        <w:outlineLvl w:val="9"/>
        <w:rPr>
          <w:rFonts w:hint="eastAsia" w:asciiTheme="minorEastAsia" w:hAnsiTheme="minorEastAsia" w:eastAsiaTheme="minorEastAsia" w:cstheme="minorEastAsia"/>
          <w:b/>
          <w:bCs/>
          <w:color w:val="auto"/>
          <w:sz w:val="28"/>
          <w:szCs w:val="28"/>
          <w:highlight w:val="none"/>
          <w:lang w:val="en-US" w:eastAsia="zh-CN"/>
        </w:rPr>
      </w:pPr>
      <w:r>
        <w:rPr>
          <w:rFonts w:hint="eastAsia" w:asciiTheme="minorEastAsia" w:hAnsiTheme="minorEastAsia" w:eastAsiaTheme="minorEastAsia" w:cstheme="minorEastAsia"/>
          <w:b/>
          <w:bCs/>
          <w:color w:val="auto"/>
          <w:sz w:val="28"/>
          <w:szCs w:val="28"/>
          <w:highlight w:val="none"/>
          <w:lang w:val="en-US" w:eastAsia="zh-CN"/>
        </w:rPr>
        <w:t>事业单位</w:t>
      </w:r>
    </w:p>
    <w:p>
      <w:pPr>
        <w:numPr>
          <w:ilvl w:val="0"/>
          <w:numId w:val="2"/>
        </w:numPr>
        <w:spacing w:line="360" w:lineRule="auto"/>
        <w:ind w:firstLine="560" w:firstLineChars="200"/>
        <w:outlineLvl w:val="9"/>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双鸭山市河湖管护中心</w:t>
      </w:r>
    </w:p>
    <w:p>
      <w:pPr>
        <w:pStyle w:val="2"/>
        <w:numPr>
          <w:ilvl w:val="0"/>
          <w:numId w:val="0"/>
        </w:numPr>
        <w:ind w:firstLine="560" w:firstLineChars="200"/>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bidi="ar-SA"/>
        </w:rPr>
        <w:t>为全市河湖长制工作组织实施提供技术支撑和服务保障；为市总和河湖长、市级河湖长履职提供技术支撑和服务保障。为全市水旱灾害防御提供技术支撑和服务保障。为全市河湖管理及水库、堤防、水闸等水利工程运行提供技术保障。为全市农村饮水工程、农田灌溉排</w:t>
      </w:r>
      <w:r>
        <w:rPr>
          <w:rFonts w:hint="default" w:asciiTheme="minorEastAsia" w:hAnsiTheme="minorEastAsia" w:eastAsiaTheme="minorEastAsia" w:cstheme="minorEastAsia"/>
          <w:b/>
          <w:bCs/>
          <w:color w:val="auto"/>
          <w:sz w:val="28"/>
          <w:szCs w:val="28"/>
          <w:highlight w:val="none"/>
          <w:lang w:val="en-US" w:eastAsia="zh-CN" w:bidi="ar-SA"/>
        </w:rPr>
        <w:t>骨干</w:t>
      </w:r>
      <w:r>
        <w:rPr>
          <w:rFonts w:hint="default" w:asciiTheme="minorEastAsia" w:hAnsiTheme="minorEastAsia" w:eastAsiaTheme="minorEastAsia" w:cstheme="minorEastAsia"/>
          <w:color w:val="auto"/>
          <w:sz w:val="28"/>
          <w:szCs w:val="28"/>
          <w:highlight w:val="none"/>
          <w:lang w:val="en-US" w:eastAsia="zh-CN" w:bidi="ar-SA"/>
        </w:rPr>
        <w:t>等工程的建设、维修养护和运行管理提供技术支持和服务保障工作。</w:t>
      </w:r>
    </w:p>
    <w:p>
      <w:pPr>
        <w:spacing w:line="360" w:lineRule="auto"/>
        <w:ind w:firstLine="560" w:firstLineChars="200"/>
        <w:outlineLvl w:val="9"/>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2、双鸭山市水利工程质量安全保障中心</w:t>
      </w:r>
    </w:p>
    <w:p>
      <w:pPr>
        <w:spacing w:line="360" w:lineRule="auto"/>
        <w:ind w:firstLine="560" w:firstLineChars="200"/>
        <w:outlineLvl w:val="9"/>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为全市水利工程质量与安全监督机构管理和能力建设提供服务保障。承担市级直接管理的水利工程建设项目质量与安全监督的服务保障工作。为水利行业安全生产提供服务保障工作。承担水利监督检查服务保障工作。</w:t>
      </w:r>
    </w:p>
    <w:p>
      <w:pPr>
        <w:spacing w:line="360" w:lineRule="auto"/>
        <w:ind w:firstLine="560" w:firstLineChars="200"/>
        <w:outlineLvl w:val="9"/>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3、双鸭山市水资源与节水技术中心</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开展全市水资源的勘察、综合评价和水生态保护技术指导工作。协调有关部门制定全市水资源开发利用、节约保护等中长期规划和综合统计工作。开展水资源管理和节约用水技术研究、效值评估、新技术推广应用工作。开展权限内取水许可、用水计划行政许可前的技术审查工作。开展水资源开发利用和节约保护等其他技术性、服务性工作。开展水资源费征收数据核查工作。</w:t>
      </w:r>
    </w:p>
    <w:p>
      <w:pPr>
        <w:pStyle w:val="2"/>
        <w:numPr>
          <w:ilvl w:val="0"/>
          <w:numId w:val="3"/>
        </w:numPr>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双鸭山市水利工程建设事业中心</w:t>
      </w:r>
    </w:p>
    <w:p>
      <w:pPr>
        <w:pStyle w:val="2"/>
        <w:numPr>
          <w:ilvl w:val="0"/>
          <w:numId w:val="0"/>
        </w:numPr>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承担全市水利战略规划、专业规划和专项规划编制的技术服务保障工作。为全市水利工程建设提供技术支撑和服务保障工作。为全市水利工程项目技术审查提供技术支撑工作。为全市水利科技研究、推广、技术培训提供服务工作。</w:t>
      </w:r>
    </w:p>
    <w:p>
      <w:pPr>
        <w:pStyle w:val="2"/>
        <w:numPr>
          <w:ilvl w:val="0"/>
          <w:numId w:val="3"/>
        </w:numPr>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双鸭山市寒葱沟水库管护中心</w:t>
      </w:r>
    </w:p>
    <w:p>
      <w:pPr>
        <w:pStyle w:val="2"/>
        <w:numPr>
          <w:ilvl w:val="0"/>
          <w:numId w:val="0"/>
        </w:numPr>
        <w:ind w:firstLine="560" w:firstLineChars="200"/>
        <w:rPr>
          <w:rFonts w:hint="default"/>
          <w:color w:val="auto"/>
          <w:lang w:val="en-US" w:eastAsia="zh-CN"/>
        </w:rPr>
      </w:pPr>
      <w:r>
        <w:rPr>
          <w:rFonts w:hint="default" w:asciiTheme="minorEastAsia" w:hAnsiTheme="minorEastAsia" w:eastAsiaTheme="minorEastAsia" w:cstheme="minorEastAsia"/>
          <w:color w:val="auto"/>
          <w:sz w:val="28"/>
          <w:szCs w:val="28"/>
          <w:highlight w:val="none"/>
          <w:lang w:val="en-US" w:eastAsia="zh-CN"/>
        </w:rPr>
        <w:t>负责水库的日常管理工作、负责工程管理、供水调度、防洪调度、水源保护、工程安全、水库维修与养护工作、制定科学的管理办法，完整和水质良好，确定合理的水库调度运用原则和水质保护措施。</w:t>
      </w:r>
    </w:p>
    <w:p>
      <w:pPr>
        <w:spacing w:line="360" w:lineRule="auto"/>
        <w:ind w:firstLine="562" w:firstLineChars="200"/>
        <w:outlineLvl w:val="1"/>
        <w:rPr>
          <w:rFonts w:hint="default" w:asciiTheme="minorEastAsia" w:hAnsiTheme="minorEastAsia" w:eastAsiaTheme="minorEastAsia" w:cstheme="minorEastAsia"/>
          <w:b/>
          <w:bCs/>
          <w:color w:val="auto"/>
          <w:sz w:val="28"/>
          <w:szCs w:val="28"/>
          <w:lang w:val="en-US" w:eastAsia="zh-CN"/>
        </w:rPr>
      </w:pPr>
      <w:bookmarkStart w:id="19" w:name="_Toc23095"/>
      <w:r>
        <w:rPr>
          <w:rFonts w:hint="eastAsia" w:asciiTheme="minorEastAsia" w:hAnsiTheme="minorEastAsia" w:eastAsiaTheme="minorEastAsia" w:cstheme="minorEastAsia"/>
          <w:b/>
          <w:bCs/>
          <w:color w:val="auto"/>
          <w:sz w:val="28"/>
          <w:szCs w:val="28"/>
          <w:lang w:val="en-US" w:eastAsia="zh-CN"/>
        </w:rPr>
        <w:t>（三）部门人员构成</w:t>
      </w:r>
      <w:bookmarkEnd w:id="19"/>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双鸭山市水务局及所属事业单位总人数108人，在职人数108人，其中：行政编制人员18人、参公编制人员0人、事业编制人员90人；离休人员1人；退休人员58人；退养人员0人。</w:t>
      </w:r>
    </w:p>
    <w:p>
      <w:pPr>
        <w:numPr>
          <w:ilvl w:val="0"/>
          <w:numId w:val="4"/>
        </w:numPr>
        <w:spacing w:line="360" w:lineRule="auto"/>
        <w:ind w:firstLine="562" w:firstLineChars="200"/>
        <w:outlineLvl w:val="1"/>
        <w:rPr>
          <w:rFonts w:hint="eastAsia" w:asciiTheme="minorEastAsia" w:hAnsiTheme="minorEastAsia" w:eastAsiaTheme="minorEastAsia" w:cstheme="minorEastAsia"/>
          <w:b/>
          <w:bCs/>
          <w:color w:val="auto"/>
          <w:sz w:val="28"/>
          <w:szCs w:val="28"/>
          <w:highlight w:val="none"/>
          <w:lang w:val="en-US" w:eastAsia="zh-CN"/>
        </w:rPr>
      </w:pPr>
      <w:bookmarkStart w:id="20" w:name="_Toc15733"/>
      <w:r>
        <w:rPr>
          <w:rFonts w:hint="eastAsia" w:asciiTheme="minorEastAsia" w:hAnsiTheme="minorEastAsia" w:eastAsiaTheme="minorEastAsia" w:cstheme="minorEastAsia"/>
          <w:b/>
          <w:bCs/>
          <w:color w:val="auto"/>
          <w:sz w:val="28"/>
          <w:szCs w:val="28"/>
          <w:highlight w:val="none"/>
          <w:lang w:val="en-US" w:eastAsia="zh-CN"/>
        </w:rPr>
        <w:t>年度总体工作和重点工作任务</w:t>
      </w:r>
      <w:bookmarkEnd w:id="20"/>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双鸭山市水务局2021年度部门整体工作任务为：</w:t>
      </w:r>
    </w:p>
    <w:p>
      <w:pPr>
        <w:numPr>
          <w:ilvl w:val="0"/>
          <w:numId w:val="5"/>
        </w:numPr>
        <w:spacing w:line="360" w:lineRule="auto"/>
        <w:ind w:left="420" w:leftChars="0" w:firstLine="0" w:firstLineChars="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保障市水务局及下属事业单位人员的基本工资、津贴补贴等经费。</w:t>
      </w:r>
    </w:p>
    <w:p>
      <w:pPr>
        <w:numPr>
          <w:ilvl w:val="0"/>
          <w:numId w:val="5"/>
        </w:numPr>
        <w:spacing w:line="360" w:lineRule="auto"/>
        <w:ind w:left="420" w:leftChars="0" w:firstLine="0" w:firstLineChars="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保障各项水利设施工程正常运行。</w:t>
      </w:r>
    </w:p>
    <w:p>
      <w:pPr>
        <w:numPr>
          <w:ilvl w:val="0"/>
          <w:numId w:val="5"/>
        </w:numPr>
        <w:spacing w:line="360" w:lineRule="auto"/>
        <w:ind w:left="420" w:leftChars="0" w:firstLine="0" w:firstLineChars="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保障水资源合理利用。</w:t>
      </w:r>
    </w:p>
    <w:p>
      <w:pPr>
        <w:numPr>
          <w:ilvl w:val="0"/>
          <w:numId w:val="5"/>
        </w:numPr>
        <w:spacing w:line="360" w:lineRule="auto"/>
        <w:ind w:left="420" w:leftChars="0" w:firstLine="0" w:firstLineChars="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保障各部门正常运转。</w:t>
      </w:r>
    </w:p>
    <w:p>
      <w:pPr>
        <w:spacing w:line="360" w:lineRule="auto"/>
        <w:ind w:firstLine="562" w:firstLineChars="200"/>
        <w:outlineLvl w:val="1"/>
        <w:rPr>
          <w:rFonts w:hint="eastAsia" w:asciiTheme="minorEastAsia" w:hAnsiTheme="minorEastAsia" w:eastAsiaTheme="minorEastAsia" w:cstheme="minorEastAsia"/>
          <w:b/>
          <w:bCs/>
          <w:color w:val="auto"/>
          <w:sz w:val="28"/>
          <w:szCs w:val="28"/>
          <w:lang w:val="en-US" w:eastAsia="zh-CN"/>
        </w:rPr>
      </w:pPr>
      <w:bookmarkStart w:id="21" w:name="_Toc7065"/>
      <w:r>
        <w:rPr>
          <w:rFonts w:hint="eastAsia" w:asciiTheme="minorEastAsia" w:hAnsiTheme="minorEastAsia" w:eastAsiaTheme="minorEastAsia" w:cstheme="minorEastAsia"/>
          <w:b/>
          <w:bCs/>
          <w:color w:val="auto"/>
          <w:sz w:val="28"/>
          <w:szCs w:val="28"/>
          <w:lang w:val="en-US" w:eastAsia="zh-CN"/>
        </w:rPr>
        <w:t>（五）资金投入及使用情况</w:t>
      </w:r>
      <w:bookmarkEnd w:id="21"/>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2021年度双鸭山市水务局预算支出为2842.09万元，其中基本支出656.14万元，项目支出2185.95万元。</w:t>
      </w:r>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基本支出中，全年执行数为656.14万元，执行率为114.4%。工资福利支出年度指标值为495.90万元，截止2021年12月末支出566.80万元。对个人和家庭补助支出年度指标值为38.30万元，截止2021年12月末支出38.63万元。日常公用经费年度指标值为39.60万元，截止2021年12月末支出50.70万元。</w:t>
      </w:r>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项目支出中，全年执行数为2185.95万元。其中，寒葱沟水库饮用水水源地安全保障达标建设项目规划设计11.95万元，水行政执法车辆购置13.70万元，寒葱沟水库水源地生态拦截坝清淤69.93万元，招商引资经费1.27万元，管理范围划界勘测设计费10.80万元，山河水库水面承包费1.96万元，洪水防御方案编制费19.79万元，一河一策勘测设计费38.29万元，市领导项目费6.50万元，水库调度规程评审咨询费19.40万元，2021年寒葱沟水库维修养护工程41.44万元，2021年农村饮水安全维修养护项目12.61万元，2021年小型水库维修养护项目16.57万元，小型水库维修维护0.57万元，2019年水毁修复工程102.74万元，2021年山洪灾害非工程措施设施维修养护项目14.55万元，2019年山河水库水毁修复工程2.63万元，2020年山河水库水毁修复工程53.67万元，高标准农用建设完成上图入库技术服务费1.00万元，安邦河流域水环境综合整治工程1746.57万元。</w:t>
      </w:r>
    </w:p>
    <w:bookmarkEnd w:id="9"/>
    <w:p>
      <w:pPr>
        <w:widowControl w:val="0"/>
        <w:spacing w:line="360" w:lineRule="auto"/>
        <w:ind w:firstLine="562" w:firstLineChars="200"/>
        <w:outlineLvl w:val="0"/>
        <w:rPr>
          <w:rFonts w:hint="eastAsia" w:asciiTheme="minorEastAsia" w:hAnsiTheme="minorEastAsia" w:eastAsiaTheme="minorEastAsia" w:cstheme="minorEastAsia"/>
          <w:b/>
          <w:bCs/>
          <w:color w:val="auto"/>
          <w:sz w:val="28"/>
          <w:szCs w:val="28"/>
        </w:rPr>
      </w:pPr>
      <w:bookmarkStart w:id="22" w:name="_Toc20360"/>
      <w:bookmarkStart w:id="23" w:name="_Toc30036"/>
      <w:bookmarkStart w:id="24" w:name="_Toc28350"/>
      <w:r>
        <w:rPr>
          <w:rFonts w:hint="eastAsia" w:asciiTheme="minorEastAsia" w:hAnsiTheme="minorEastAsia" w:eastAsiaTheme="minorEastAsia" w:cstheme="minorEastAsia"/>
          <w:b/>
          <w:bCs/>
          <w:color w:val="auto"/>
          <w:sz w:val="28"/>
          <w:szCs w:val="28"/>
        </w:rPr>
        <w:t>二、绩效评价工作开展情况</w:t>
      </w:r>
      <w:bookmarkEnd w:id="22"/>
      <w:bookmarkEnd w:id="23"/>
      <w:bookmarkEnd w:id="24"/>
    </w:p>
    <w:p>
      <w:pPr>
        <w:widowControl w:val="0"/>
        <w:spacing w:line="360" w:lineRule="auto"/>
        <w:ind w:firstLine="562" w:firstLineChars="200"/>
        <w:outlineLvl w:val="1"/>
        <w:rPr>
          <w:rFonts w:hint="eastAsia" w:asciiTheme="minorEastAsia" w:hAnsiTheme="minorEastAsia" w:eastAsiaTheme="minorEastAsia" w:cstheme="minorEastAsia"/>
          <w:b/>
          <w:bCs/>
          <w:color w:val="auto"/>
          <w:sz w:val="28"/>
          <w:szCs w:val="28"/>
        </w:rPr>
      </w:pPr>
      <w:bookmarkStart w:id="25" w:name="_Toc23819"/>
      <w:bookmarkStart w:id="26" w:name="_Toc5240"/>
      <w:r>
        <w:rPr>
          <w:rFonts w:hint="eastAsia" w:asciiTheme="minorEastAsia" w:hAnsiTheme="minorEastAsia" w:eastAsiaTheme="minorEastAsia" w:cstheme="minorEastAsia"/>
          <w:b/>
          <w:bCs/>
          <w:color w:val="auto"/>
          <w:sz w:val="28"/>
          <w:szCs w:val="28"/>
        </w:rPr>
        <w:t>（一）绩效评价目的、对象和范围</w:t>
      </w:r>
      <w:bookmarkEnd w:id="25"/>
      <w:bookmarkEnd w:id="26"/>
    </w:p>
    <w:p>
      <w:pPr>
        <w:widowControl w:val="0"/>
        <w:spacing w:line="360" w:lineRule="auto"/>
        <w:ind w:firstLine="562" w:firstLineChars="200"/>
        <w:outlineLvl w:val="2"/>
        <w:rPr>
          <w:rFonts w:hint="eastAsia" w:asciiTheme="minorEastAsia" w:hAnsiTheme="minorEastAsia" w:eastAsiaTheme="minorEastAsia" w:cstheme="minorEastAsia"/>
          <w:b/>
          <w:bCs/>
          <w:color w:val="auto"/>
          <w:sz w:val="28"/>
          <w:szCs w:val="28"/>
        </w:rPr>
      </w:pPr>
      <w:bookmarkStart w:id="27" w:name="_Toc10046"/>
      <w:bookmarkStart w:id="28" w:name="_Toc19733"/>
      <w:bookmarkStart w:id="29" w:name="_Toc20783"/>
      <w:r>
        <w:rPr>
          <w:rFonts w:hint="eastAsia" w:asciiTheme="minorEastAsia" w:hAnsiTheme="minorEastAsia" w:eastAsiaTheme="minorEastAsia" w:cstheme="minorEastAsia"/>
          <w:b/>
          <w:bCs/>
          <w:color w:val="auto"/>
          <w:sz w:val="28"/>
          <w:szCs w:val="28"/>
          <w:lang w:val="en-US" w:eastAsia="zh-CN"/>
        </w:rPr>
        <w:t>1、</w:t>
      </w:r>
      <w:r>
        <w:rPr>
          <w:rFonts w:hint="eastAsia" w:asciiTheme="minorEastAsia" w:hAnsiTheme="minorEastAsia" w:eastAsiaTheme="minorEastAsia" w:cstheme="minorEastAsia"/>
          <w:b/>
          <w:bCs/>
          <w:color w:val="auto"/>
          <w:sz w:val="28"/>
          <w:szCs w:val="28"/>
        </w:rPr>
        <w:t>绩效评价目的</w:t>
      </w:r>
      <w:bookmarkEnd w:id="27"/>
      <w:bookmarkEnd w:id="28"/>
      <w:bookmarkEnd w:id="29"/>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bookmarkStart w:id="30" w:name="_Toc14782"/>
      <w:bookmarkStart w:id="31" w:name="_Toc20892"/>
      <w:bookmarkStart w:id="32" w:name="_Toc24591"/>
      <w:r>
        <w:rPr>
          <w:rFonts w:hint="eastAsia" w:asciiTheme="minorEastAsia" w:hAnsiTheme="minorEastAsia" w:eastAsiaTheme="minorEastAsia" w:cstheme="minorEastAsia"/>
          <w:color w:val="auto"/>
          <w:sz w:val="28"/>
          <w:szCs w:val="28"/>
          <w:lang w:val="en-US" w:eastAsia="zh-CN"/>
        </w:rPr>
        <w:t>一是通过开展项目绩效评价工作，探索建立规范的财政专项资金项目绩效评价指标体系，完善财政预算编制方法，并为以后年度该项目资金绩效目标审核、预算安排提供决策依据；通过绩效评价使预算单位树立绩效意识、成本意识和责任意识，提高财政专项资金的使用效益和管理水平。</w:t>
      </w:r>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二是全面了解双鸭山市水务局2021年部门资金使用、执行情况以及取得的成绩和综合效果，有利于预算单位总结经验、发现问题、加强管理、保证财政资金使用管理的规范性、安全性和有效性。</w:t>
      </w:r>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总的来讲，绩效评价工作的目的就是预算编制有目标、预算执行有监控、预算完成有评价、评价结果有反馈、反馈结果有应用。</w:t>
      </w:r>
    </w:p>
    <w:p>
      <w:pPr>
        <w:widowControl w:val="0"/>
        <w:spacing w:line="360" w:lineRule="auto"/>
        <w:ind w:firstLine="562" w:firstLineChars="200"/>
        <w:outlineLvl w:val="2"/>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2、</w:t>
      </w:r>
      <w:r>
        <w:rPr>
          <w:rFonts w:hint="eastAsia" w:asciiTheme="minorEastAsia" w:hAnsiTheme="minorEastAsia" w:eastAsiaTheme="minorEastAsia" w:cstheme="minorEastAsia"/>
          <w:b/>
          <w:bCs/>
          <w:color w:val="auto"/>
          <w:sz w:val="28"/>
          <w:szCs w:val="28"/>
        </w:rPr>
        <w:t>评价的对象和范围</w:t>
      </w:r>
      <w:bookmarkEnd w:id="30"/>
      <w:bookmarkEnd w:id="31"/>
      <w:bookmarkEnd w:id="32"/>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评价对象： 双鸭山市水务局。</w:t>
      </w:r>
    </w:p>
    <w:p>
      <w:pPr>
        <w:spacing w:line="360" w:lineRule="auto"/>
        <w:ind w:firstLine="560" w:firstLineChars="200"/>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评价范围： 双鸭山市水务局2021年部门整体资金完成的工作及达成的效果。</w:t>
      </w:r>
    </w:p>
    <w:p>
      <w:pPr>
        <w:widowControl w:val="0"/>
        <w:spacing w:line="360" w:lineRule="auto"/>
        <w:ind w:firstLine="562" w:firstLineChars="200"/>
        <w:outlineLvl w:val="1"/>
        <w:rPr>
          <w:rFonts w:hint="eastAsia" w:asciiTheme="minorEastAsia" w:hAnsiTheme="minorEastAsia" w:eastAsiaTheme="minorEastAsia" w:cstheme="minorEastAsia"/>
          <w:b/>
          <w:bCs/>
          <w:color w:val="auto"/>
          <w:sz w:val="28"/>
          <w:szCs w:val="28"/>
        </w:rPr>
      </w:pPr>
      <w:bookmarkStart w:id="33" w:name="_Toc2465"/>
      <w:bookmarkStart w:id="34" w:name="_Toc16789"/>
      <w:r>
        <w:rPr>
          <w:rFonts w:hint="eastAsia" w:asciiTheme="minorEastAsia" w:hAnsiTheme="minorEastAsia" w:eastAsiaTheme="minorEastAsia" w:cstheme="minorEastAsia"/>
          <w:b/>
          <w:bCs/>
          <w:color w:val="auto"/>
          <w:sz w:val="28"/>
          <w:szCs w:val="28"/>
        </w:rPr>
        <w:t>（二）绩效评价原则、评价方法、评价标准等</w:t>
      </w:r>
      <w:bookmarkEnd w:id="33"/>
      <w:bookmarkEnd w:id="34"/>
    </w:p>
    <w:p>
      <w:pPr>
        <w:widowControl w:val="0"/>
        <w:spacing w:line="360" w:lineRule="auto"/>
        <w:ind w:firstLine="562" w:firstLineChars="200"/>
        <w:outlineLvl w:val="2"/>
        <w:rPr>
          <w:rFonts w:hint="eastAsia" w:asciiTheme="minorEastAsia" w:hAnsiTheme="minorEastAsia" w:eastAsiaTheme="minorEastAsia" w:cstheme="minorEastAsia"/>
          <w:b/>
          <w:bCs/>
          <w:color w:val="auto"/>
          <w:sz w:val="28"/>
          <w:szCs w:val="28"/>
        </w:rPr>
      </w:pPr>
      <w:bookmarkStart w:id="35" w:name="_Toc21983"/>
      <w:bookmarkStart w:id="36" w:name="_Toc15999"/>
      <w:bookmarkStart w:id="37" w:name="_Toc25752"/>
      <w:r>
        <w:rPr>
          <w:rFonts w:hint="eastAsia" w:asciiTheme="minorEastAsia" w:hAnsiTheme="minorEastAsia" w:eastAsiaTheme="minorEastAsia" w:cstheme="minorEastAsia"/>
          <w:b/>
          <w:bCs/>
          <w:color w:val="auto"/>
          <w:sz w:val="28"/>
          <w:szCs w:val="28"/>
          <w:lang w:val="en-US" w:eastAsia="zh-CN"/>
        </w:rPr>
        <w:t>1、</w:t>
      </w:r>
      <w:r>
        <w:rPr>
          <w:rFonts w:hint="eastAsia" w:asciiTheme="minorEastAsia" w:hAnsiTheme="minorEastAsia" w:eastAsiaTheme="minorEastAsia" w:cstheme="minorEastAsia"/>
          <w:b/>
          <w:bCs/>
          <w:color w:val="auto"/>
          <w:sz w:val="28"/>
          <w:szCs w:val="28"/>
        </w:rPr>
        <w:t>绩效评价原则</w:t>
      </w:r>
      <w:bookmarkEnd w:id="35"/>
      <w:bookmarkEnd w:id="36"/>
      <w:bookmarkEnd w:id="37"/>
    </w:p>
    <w:p>
      <w:pPr>
        <w:widowControl w:val="0"/>
        <w:spacing w:line="360" w:lineRule="auto"/>
        <w:ind w:firstLine="560" w:firstLineChars="200"/>
        <w:jc w:val="both"/>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 xml:space="preserve">本报告的评价原则是依据绩效评价基本原理，按照财政部《财政部关于印发项目支出绩效评价管理暂行办法的通知》（财预〔2020〕10号）、《黑龙江省财政厅关于印发《黑龙江省省级项目支出部门评价和财政评价工作操作规范（试行）的通知》（黑财监〔2021〕13号）、《黑龙江省省级部门单位预算绩效管理暂行办法》（黑财预〔2020〕38号）及《黑龙江省财政厅关于开展2021年度省级项目（专项）支出部门评价工作的通知》（黑财监〔2022〕10号），分别按照计划标准、行业标准、历史标准等制定。 </w:t>
      </w:r>
    </w:p>
    <w:p>
      <w:pPr>
        <w:keepNext w:val="0"/>
        <w:keepLines w:val="0"/>
        <w:pageBreakBefore w:val="0"/>
        <w:widowControl w:val="0"/>
        <w:kinsoku/>
        <w:wordWrap/>
        <w:topLinePunct w:val="0"/>
        <w:bidi w:val="0"/>
        <w:adjustRightInd w:val="0"/>
        <w:snapToGrid w:val="0"/>
        <w:spacing w:line="360" w:lineRule="auto"/>
        <w:ind w:leftChars="0" w:firstLine="560" w:firstLineChars="200"/>
        <w:rPr>
          <w:rFonts w:hint="eastAsia" w:ascii="宋体" w:hAnsi="宋体" w:eastAsia="宋体" w:cs="宋体"/>
          <w:color w:val="auto"/>
          <w:kern w:val="2"/>
          <w:sz w:val="28"/>
          <w:szCs w:val="28"/>
          <w:lang w:val="en-US" w:eastAsia="zh-CN" w:bidi="ar-SA"/>
        </w:rPr>
      </w:pPr>
      <w:bookmarkStart w:id="38" w:name="_Toc23933"/>
      <w:bookmarkStart w:id="39" w:name="_Toc2333"/>
      <w:bookmarkStart w:id="40" w:name="_Toc16029"/>
      <w:bookmarkStart w:id="41" w:name="_Toc25756"/>
      <w:bookmarkStart w:id="42" w:name="_Toc25381"/>
      <w:r>
        <w:rPr>
          <w:rFonts w:hint="eastAsia" w:ascii="宋体" w:hAnsi="宋体" w:eastAsia="宋体" w:cs="宋体"/>
          <w:color w:val="auto"/>
          <w:kern w:val="2"/>
          <w:sz w:val="28"/>
          <w:szCs w:val="28"/>
          <w:lang w:val="en-US" w:eastAsia="zh-CN" w:bidi="ar-SA"/>
        </w:rPr>
        <w:t>工作组制定了准确、合理、细致的三级绩效评价指标体系，包括投入、过程、产出、效果的评价指标。指标体系建立后，采用查阅项目资料、实地交谈、听取情况、问卷调查和抽取会计凭证等方式进行。</w:t>
      </w:r>
      <w:bookmarkEnd w:id="38"/>
    </w:p>
    <w:p>
      <w:pPr>
        <w:keepNext w:val="0"/>
        <w:keepLines w:val="0"/>
        <w:pageBreakBefore w:val="0"/>
        <w:widowControl w:val="0"/>
        <w:kinsoku/>
        <w:wordWrap/>
        <w:topLinePunct w:val="0"/>
        <w:bidi w:val="0"/>
        <w:adjustRightInd w:val="0"/>
        <w:snapToGrid w:val="0"/>
        <w:spacing w:line="360" w:lineRule="auto"/>
        <w:ind w:leftChars="0"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（1）科学公正原则。绩效评价应当运用科学合理的方法，按照规范的程序，对项目绩效进行客观、公正的反映。</w:t>
      </w:r>
    </w:p>
    <w:p>
      <w:pPr>
        <w:keepNext w:val="0"/>
        <w:keepLines w:val="0"/>
        <w:pageBreakBefore w:val="0"/>
        <w:widowControl w:val="0"/>
        <w:kinsoku/>
        <w:wordWrap/>
        <w:topLinePunct w:val="0"/>
        <w:bidi w:val="0"/>
        <w:adjustRightInd w:val="0"/>
        <w:snapToGrid w:val="0"/>
        <w:spacing w:line="360" w:lineRule="auto"/>
        <w:ind w:leftChars="0"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（2）依法依规原则。按照《预算法》、《保密法》等法律法规开展预算绩效管理工作，对工作行为及结果的真实性、准确性负责。</w:t>
      </w:r>
    </w:p>
    <w:p>
      <w:pPr>
        <w:keepNext w:val="0"/>
        <w:keepLines w:val="0"/>
        <w:pageBreakBefore w:val="0"/>
        <w:widowControl w:val="0"/>
        <w:kinsoku/>
        <w:wordWrap/>
        <w:topLinePunct w:val="0"/>
        <w:bidi w:val="0"/>
        <w:adjustRightInd w:val="0"/>
        <w:snapToGrid w:val="0"/>
        <w:spacing w:line="360" w:lineRule="auto"/>
        <w:ind w:leftChars="0"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（3）公开透明原则。评价结果应依法依规公开，并自觉接受社会监督。</w:t>
      </w:r>
    </w:p>
    <w:p>
      <w:pPr>
        <w:widowControl w:val="0"/>
        <w:spacing w:line="360" w:lineRule="auto"/>
        <w:ind w:firstLine="562" w:firstLineChars="200"/>
        <w:outlineLvl w:val="2"/>
        <w:rPr>
          <w:rFonts w:hint="eastAsia" w:asciiTheme="minorEastAsia" w:hAnsiTheme="minorEastAsia" w:eastAsiaTheme="minorEastAsia" w:cstheme="minorEastAsia"/>
          <w:b/>
          <w:bCs/>
          <w:color w:val="auto"/>
          <w:sz w:val="28"/>
          <w:szCs w:val="28"/>
        </w:rPr>
      </w:pPr>
      <w:bookmarkStart w:id="43" w:name="_Toc20371"/>
      <w:bookmarkStart w:id="44" w:name="_Toc3184"/>
      <w:r>
        <w:rPr>
          <w:rFonts w:hint="eastAsia" w:asciiTheme="minorEastAsia" w:hAnsiTheme="minorEastAsia" w:eastAsiaTheme="minorEastAsia" w:cstheme="minorEastAsia"/>
          <w:b/>
          <w:bCs/>
          <w:color w:val="auto"/>
          <w:sz w:val="28"/>
          <w:szCs w:val="28"/>
          <w:lang w:val="en-US" w:eastAsia="zh-CN"/>
        </w:rPr>
        <w:t>2、</w:t>
      </w:r>
      <w:r>
        <w:rPr>
          <w:rFonts w:hint="eastAsia" w:asciiTheme="minorEastAsia" w:hAnsiTheme="minorEastAsia" w:eastAsiaTheme="minorEastAsia" w:cstheme="minorEastAsia"/>
          <w:b/>
          <w:bCs/>
          <w:color w:val="auto"/>
          <w:sz w:val="28"/>
          <w:szCs w:val="28"/>
        </w:rPr>
        <w:t>评价方法</w:t>
      </w:r>
      <w:bookmarkEnd w:id="39"/>
      <w:bookmarkEnd w:id="40"/>
      <w:bookmarkEnd w:id="41"/>
      <w:bookmarkEnd w:id="42"/>
      <w:bookmarkEnd w:id="43"/>
      <w:bookmarkEnd w:id="44"/>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在本项目专项资金使用绩效第三方评价工作中，综合运用了实地调查法、比较分析法、问卷调查法，专家评议法等评价方法，以现场与非现场形式相结合，按照项目整体评价指标体系对项目进行综合评价打分。</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 xml:space="preserve">(1)实地调查 </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 xml:space="preserve">工作组到项目单位双鸭山市水务局，了解项目相关内容，收集项目业务资料；了解资金到账、资金使用、项目实施等情况；本项目实际实施中的情况和遇到的问题、困难，以及各利益相关方对本项目的意见和建议。 </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12月15日评价机构工作组项目主评人已与项目相关负责人沟通联系，要求结合项目实际，准备相关材料，以备现场查阅，同时安排项目负责人及项目申请、资金管理、项目管理、实施等方面的负责人员参与现场核查，确保及时完成相关资料查阅和现场查看等工作顺利完成。工作组从以下四个方面进行了现场核实绩效：项目决策、项目管理过程、项目产出效益。现场核查主要工作流程包括了解情况、资料查阅、现场查看、座谈交流、满意度调查、工作记录等环节。</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项目单位资料详实，资金管理使用工作规范，制度健全，配合度非常高。</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宋体" w:hAnsi="宋体" w:eastAsia="宋体" w:cs="宋体"/>
          <w:color w:val="auto"/>
          <w:kern w:val="2"/>
          <w:sz w:val="28"/>
          <w:szCs w:val="28"/>
          <w:lang w:val="en-US" w:eastAsia="zh-CN" w:bidi="ar-SA"/>
        </w:rPr>
        <w:t>（</w:t>
      </w:r>
      <w:r>
        <w:rPr>
          <w:rFonts w:hint="eastAsia" w:ascii="宋体" w:hAnsi="宋体" w:cs="宋体"/>
          <w:color w:val="auto"/>
          <w:kern w:val="2"/>
          <w:sz w:val="28"/>
          <w:szCs w:val="28"/>
          <w:lang w:val="en-US" w:eastAsia="zh-CN" w:bidi="ar-SA"/>
        </w:rPr>
        <w:t>2</w:t>
      </w:r>
      <w:r>
        <w:rPr>
          <w:rFonts w:hint="eastAsia" w:ascii="宋体" w:hAnsi="宋体" w:eastAsia="宋体" w:cs="宋体"/>
          <w:color w:val="auto"/>
          <w:kern w:val="2"/>
          <w:sz w:val="28"/>
          <w:szCs w:val="28"/>
          <w:lang w:val="en-US" w:eastAsia="zh-CN" w:bidi="ar-SA"/>
        </w:rPr>
        <w:t>）</w:t>
      </w:r>
      <w:r>
        <w:rPr>
          <w:rFonts w:hint="eastAsia" w:asciiTheme="minorEastAsia" w:hAnsiTheme="minorEastAsia" w:eastAsiaTheme="minorEastAsia" w:cstheme="minorEastAsia"/>
          <w:color w:val="auto"/>
          <w:sz w:val="28"/>
          <w:szCs w:val="28"/>
          <w:lang w:val="en-US" w:eastAsia="zh-CN"/>
        </w:rPr>
        <w:t xml:space="preserve">统计资料分析 </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 xml:space="preserve">统计和分析的对象是项目实施单位提供的双鸭山市水务局2021年单位资金的相关数据资料，以及与项目单位相关负责人交谈后整理的交谈内容和收集的针对受益群体的调查问卷等。评价组对数据资料进行汇总、统计分析，并根据实施方案设定的评价指标体系和评分标准对分析结果进行打分。 </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宋体" w:hAnsi="宋体" w:eastAsia="宋体" w:cs="宋体"/>
          <w:color w:val="auto"/>
          <w:kern w:val="2"/>
          <w:sz w:val="28"/>
          <w:szCs w:val="28"/>
          <w:lang w:val="en-US" w:eastAsia="zh-CN" w:bidi="ar-SA"/>
        </w:rPr>
        <w:t>（</w:t>
      </w:r>
      <w:r>
        <w:rPr>
          <w:rFonts w:hint="eastAsia" w:ascii="宋体" w:hAnsi="宋体" w:cs="宋体"/>
          <w:color w:val="auto"/>
          <w:kern w:val="2"/>
          <w:sz w:val="28"/>
          <w:szCs w:val="28"/>
          <w:lang w:val="en-US" w:eastAsia="zh-CN" w:bidi="ar-SA"/>
        </w:rPr>
        <w:t>3</w:t>
      </w:r>
      <w:r>
        <w:rPr>
          <w:rFonts w:hint="eastAsia" w:ascii="宋体" w:hAnsi="宋体" w:eastAsia="宋体" w:cs="宋体"/>
          <w:color w:val="auto"/>
          <w:kern w:val="2"/>
          <w:sz w:val="28"/>
          <w:szCs w:val="28"/>
          <w:lang w:val="en-US" w:eastAsia="zh-CN" w:bidi="ar-SA"/>
        </w:rPr>
        <w:t>）</w:t>
      </w:r>
      <w:r>
        <w:rPr>
          <w:rFonts w:hint="eastAsia" w:asciiTheme="minorEastAsia" w:hAnsiTheme="minorEastAsia" w:eastAsiaTheme="minorEastAsia" w:cstheme="minorEastAsia"/>
          <w:color w:val="auto"/>
          <w:sz w:val="28"/>
          <w:szCs w:val="28"/>
          <w:lang w:val="en-US" w:eastAsia="zh-CN"/>
        </w:rPr>
        <w:t>专家评议</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聘请本项目相关专业和国家级行业专家，组成专家团队，由中国财政科学研究院政府绩效评价中心主任王泽彩主任领衔组织，对本项目的指标体系相关指标及项目实施方案，评价报告进行评审。</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宋体" w:hAnsi="宋体" w:eastAsia="宋体" w:cs="宋体"/>
          <w:color w:val="auto"/>
          <w:kern w:val="2"/>
          <w:sz w:val="28"/>
          <w:szCs w:val="28"/>
          <w:lang w:val="en-US" w:eastAsia="zh-CN" w:bidi="ar-SA"/>
        </w:rPr>
        <w:t>（</w:t>
      </w:r>
      <w:r>
        <w:rPr>
          <w:rFonts w:hint="eastAsia" w:ascii="宋体" w:hAnsi="宋体" w:cs="宋体"/>
          <w:color w:val="auto"/>
          <w:kern w:val="2"/>
          <w:sz w:val="28"/>
          <w:szCs w:val="28"/>
          <w:lang w:val="en-US" w:eastAsia="zh-CN" w:bidi="ar-SA"/>
        </w:rPr>
        <w:t>4</w:t>
      </w:r>
      <w:r>
        <w:rPr>
          <w:rFonts w:hint="eastAsia" w:ascii="宋体" w:hAnsi="宋体" w:eastAsia="宋体" w:cs="宋体"/>
          <w:color w:val="auto"/>
          <w:kern w:val="2"/>
          <w:sz w:val="28"/>
          <w:szCs w:val="28"/>
          <w:lang w:val="en-US" w:eastAsia="zh-CN" w:bidi="ar-SA"/>
        </w:rPr>
        <w:t>）</w:t>
      </w:r>
      <w:r>
        <w:rPr>
          <w:rFonts w:hint="eastAsia" w:asciiTheme="minorEastAsia" w:hAnsiTheme="minorEastAsia" w:eastAsiaTheme="minorEastAsia" w:cstheme="minorEastAsia"/>
          <w:color w:val="auto"/>
          <w:sz w:val="28"/>
          <w:szCs w:val="28"/>
          <w:lang w:val="en-US" w:eastAsia="zh-CN"/>
        </w:rPr>
        <w:t xml:space="preserve">逻辑分析 </w:t>
      </w:r>
    </w:p>
    <w:p>
      <w:pPr>
        <w:widowControl w:val="0"/>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逻辑分析法是指通过逻辑推理，将设定条件与各种可能产生的结果相关性分析来寻求各指标之间内在的联系，并借以找出财政资金投入与产出的效果之间内在联系的一种方法，经分析总结项目实际情况并最终以此形成报告。</w:t>
      </w:r>
    </w:p>
    <w:p>
      <w:pPr>
        <w:widowControl w:val="0"/>
        <w:spacing w:line="360" w:lineRule="auto"/>
        <w:ind w:firstLine="562" w:firstLineChars="200"/>
        <w:outlineLvl w:val="1"/>
        <w:rPr>
          <w:rFonts w:hint="eastAsia" w:asciiTheme="minorEastAsia" w:hAnsiTheme="minorEastAsia" w:eastAsiaTheme="minorEastAsia" w:cstheme="minorEastAsia"/>
          <w:b/>
          <w:bCs/>
          <w:color w:val="auto"/>
          <w:sz w:val="28"/>
          <w:szCs w:val="28"/>
          <w:highlight w:val="none"/>
        </w:rPr>
      </w:pPr>
      <w:bookmarkStart w:id="45" w:name="_Toc20827"/>
      <w:bookmarkStart w:id="46" w:name="_Toc1733"/>
      <w:r>
        <w:rPr>
          <w:rFonts w:hint="eastAsia" w:asciiTheme="minorEastAsia" w:hAnsiTheme="minorEastAsia" w:eastAsiaTheme="minorEastAsia" w:cstheme="minorEastAsia"/>
          <w:b/>
          <w:bCs/>
          <w:color w:val="auto"/>
          <w:sz w:val="28"/>
          <w:szCs w:val="28"/>
          <w:highlight w:val="none"/>
        </w:rPr>
        <w:t>（三）绩效评价指标体系（附表说明）</w:t>
      </w:r>
      <w:bookmarkEnd w:id="45"/>
      <w:bookmarkEnd w:id="46"/>
    </w:p>
    <w:p>
      <w:pPr>
        <w:pStyle w:val="18"/>
        <w:widowControl w:val="0"/>
        <w:spacing w:line="360" w:lineRule="auto"/>
        <w:ind w:firstLine="640"/>
        <w:outlineLvl w:val="2"/>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1、指标体系设计的总体思路</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（1）相关性原则：绩效评价指标与目标有直接的联系，能够恰当反映目标的实现程度。</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（2）重要性原则：优先使用最具评价对象代表性、最能反映评价要求的核心指标。 </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（3）可比性原则：对同类评价对象设定共性的绩效评价指标，以便于评价标准的规范和评价结果可互相比较。 </w:t>
      </w:r>
    </w:p>
    <w:p>
      <w:pPr>
        <w:pStyle w:val="18"/>
        <w:widowControl w:val="0"/>
        <w:spacing w:line="360" w:lineRule="auto"/>
        <w:ind w:firstLine="640"/>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（4）系统性原则：将定量指标和定性指标相结合，定量指标应量化，定性指标可衡量，系统反映财政支出所产生的社会效益、经济效益、环境效益和可持续影响等。 </w:t>
      </w:r>
    </w:p>
    <w:p>
      <w:pPr>
        <w:pStyle w:val="18"/>
        <w:widowControl w:val="0"/>
        <w:spacing w:line="360" w:lineRule="auto"/>
        <w:ind w:firstLine="640"/>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（5）经济性原则：数据的取得考虑现实条件和可操作性，符合成本效益原则。</w:t>
      </w:r>
    </w:p>
    <w:p>
      <w:pPr>
        <w:pStyle w:val="18"/>
        <w:widowControl w:val="0"/>
        <w:spacing w:line="360" w:lineRule="auto"/>
        <w:ind w:firstLine="640"/>
        <w:outlineLvl w:val="2"/>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2、绩效评价指标</w:t>
      </w:r>
    </w:p>
    <w:p>
      <w:pPr>
        <w:widowControl w:val="0"/>
        <w:spacing w:line="360" w:lineRule="auto"/>
        <w:ind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本次绩效评价指标总标准分值为100分。绩效评价指标体系共设立了三级，其中一级指标</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个</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决策、过程、产出、效益</w:t>
      </w:r>
      <w:r>
        <w:rPr>
          <w:rFonts w:hint="eastAsia" w:asciiTheme="minorEastAsia" w:hAnsiTheme="minorEastAsia" w:eastAsiaTheme="minorEastAsia" w:cstheme="minorEastAsia"/>
          <w:color w:val="auto"/>
          <w:sz w:val="28"/>
          <w:szCs w:val="28"/>
          <w:highlight w:val="none"/>
        </w:rPr>
        <w:t>；二级指标</w:t>
      </w:r>
      <w:r>
        <w:rPr>
          <w:rFonts w:hint="eastAsia" w:asciiTheme="minorEastAsia" w:hAnsiTheme="minorEastAsia" w:eastAsiaTheme="minorEastAsia" w:cstheme="minorEastAsia"/>
          <w:color w:val="auto"/>
          <w:sz w:val="28"/>
          <w:szCs w:val="28"/>
          <w:highlight w:val="none"/>
          <w:lang w:val="en-US" w:eastAsia="zh-CN"/>
        </w:rPr>
        <w:t>11</w:t>
      </w:r>
      <w:r>
        <w:rPr>
          <w:rFonts w:hint="eastAsia" w:asciiTheme="minorEastAsia" w:hAnsiTheme="minorEastAsia" w:eastAsiaTheme="minorEastAsia" w:cstheme="minorEastAsia"/>
          <w:color w:val="auto"/>
          <w:sz w:val="28"/>
          <w:szCs w:val="28"/>
          <w:highlight w:val="none"/>
        </w:rPr>
        <w:t>个：预算编制</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预算配置</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支出配置</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预算执行</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预算管理</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资产管理</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重点工作</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职责履行</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社会效益</w:t>
      </w:r>
      <w:r>
        <w:rPr>
          <w:rFonts w:hint="eastAsia" w:asciiTheme="minorEastAsia" w:hAnsiTheme="minorEastAsia" w:eastAsiaTheme="minorEastAsia" w:cstheme="minorEastAsia"/>
          <w:color w:val="auto"/>
          <w:sz w:val="28"/>
          <w:szCs w:val="28"/>
          <w:highlight w:val="none"/>
          <w:lang w:eastAsia="zh-CN"/>
        </w:rPr>
        <w:t>、经济效益、满意度；</w:t>
      </w:r>
      <w:r>
        <w:rPr>
          <w:rFonts w:hint="eastAsia" w:asciiTheme="minorEastAsia" w:hAnsiTheme="minorEastAsia" w:eastAsiaTheme="minorEastAsia" w:cstheme="minorEastAsia"/>
          <w:color w:val="auto"/>
          <w:sz w:val="28"/>
          <w:szCs w:val="28"/>
          <w:highlight w:val="none"/>
        </w:rPr>
        <w:t>三级指标</w:t>
      </w:r>
      <w:r>
        <w:rPr>
          <w:rFonts w:hint="eastAsia" w:asciiTheme="minorEastAsia" w:hAnsiTheme="minorEastAsia" w:eastAsiaTheme="minorEastAsia" w:cstheme="minorEastAsia"/>
          <w:color w:val="auto"/>
          <w:sz w:val="28"/>
          <w:szCs w:val="28"/>
          <w:highlight w:val="none"/>
          <w:lang w:val="en-US" w:eastAsia="zh-CN"/>
        </w:rPr>
        <w:t>35</w:t>
      </w:r>
      <w:r>
        <w:rPr>
          <w:rFonts w:hint="eastAsia" w:asciiTheme="minorEastAsia" w:hAnsiTheme="minorEastAsia" w:eastAsiaTheme="minorEastAsia" w:cstheme="minorEastAsia"/>
          <w:color w:val="auto"/>
          <w:sz w:val="28"/>
          <w:szCs w:val="28"/>
          <w:highlight w:val="none"/>
        </w:rPr>
        <w:t>个。</w:t>
      </w:r>
      <w:r>
        <w:rPr>
          <w:rFonts w:hint="eastAsia" w:asciiTheme="minorEastAsia" w:hAnsiTheme="minorEastAsia" w:eastAsiaTheme="minorEastAsia" w:cstheme="minorEastAsia"/>
          <w:color w:val="auto"/>
          <w:sz w:val="28"/>
          <w:szCs w:val="28"/>
          <w:highlight w:val="none"/>
          <w:lang w:val="en-US" w:eastAsia="zh-CN"/>
        </w:rPr>
        <w:t xml:space="preserve">  </w:t>
      </w:r>
    </w:p>
    <w:p>
      <w:pPr>
        <w:pStyle w:val="2"/>
        <w:spacing w:line="360" w:lineRule="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指标体系明细构成及标准分值如下表：</w:t>
      </w:r>
    </w:p>
    <w:tbl>
      <w:tblPr>
        <w:tblStyle w:val="12"/>
        <w:tblW w:w="9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89"/>
        <w:gridCol w:w="2471"/>
        <w:gridCol w:w="3541"/>
        <w:gridCol w:w="17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1" w:hRule="atLeast"/>
        </w:trPr>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一级指标</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二级指标 </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三级指标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权重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20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决策(15分)</w:t>
            </w: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目标设定</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(6分)</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绩效目标与部门职能相符程度</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工作任务与绩效目标匹配程度</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目标任务分解情况</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目标任务量化情况</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预算配置</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(3分)</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部门人员编制数的确定性</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3"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部门在职人员数的确定性</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在职人员控制率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支出配置(6分)</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“三公经费”金额的真实性</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3"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三公经费”变动率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重点支出安排率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0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过程(20分)</w:t>
            </w: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预算执行(8分)</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预算完成率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预算调整率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支付进度率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公用经费控制率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3"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“三公经费”控制率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政府采购执行率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预算管理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(8分)</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内部控制与财务管理制度健全性</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资金使用合规性</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2"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预决算信息公开性</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基础信息完善性</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绩效自评</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资产管理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(4分)</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资产管理制度健全性</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1"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资产管理安全性</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固定资产利用率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trPr>
        <w:tc>
          <w:tcPr>
            <w:tcW w:w="20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产出(35分)</w:t>
            </w: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重点工作</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（20分)</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安邦河流域水环境综合整治</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寒葱沟水库水源地生态拦截坝清淤</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8"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职责履行</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(15分)</w:t>
            </w:r>
          </w:p>
        </w:tc>
        <w:tc>
          <w:tcPr>
            <w:tcW w:w="35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执行项目完成率</w:t>
            </w:r>
          </w:p>
        </w:tc>
        <w:tc>
          <w:tcPr>
            <w:tcW w:w="1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执行项目完成及时率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trPr>
        <w:tc>
          <w:tcPr>
            <w:tcW w:w="20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效益(30分)</w:t>
            </w:r>
          </w:p>
        </w:tc>
        <w:tc>
          <w:tcPr>
            <w:tcW w:w="247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社会效益</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(18分）</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处理突发事件的应急处理能力有所提高</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保障群众饮水安全方面有所提高</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1"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河道、城市管网的治理，在保障群众财产安全方面得到提升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改善了周边环境，提升了生活质量</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1"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防汛抗旱的能力有所提高</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满意度</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（12分）</w:t>
            </w: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社会公众或服务对象满意度</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2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内部职工满意度</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r>
    </w:tbl>
    <w:p>
      <w:pPr>
        <w:spacing w:line="360" w:lineRule="auto"/>
        <w:ind w:firstLine="560" w:firstLineChars="200"/>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3、指标解释</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绩效指标体系中各指标解释如下表：</w:t>
      </w:r>
    </w:p>
    <w:tbl>
      <w:tblPr>
        <w:tblStyle w:val="12"/>
        <w:tblW w:w="98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45"/>
        <w:gridCol w:w="1355"/>
        <w:gridCol w:w="1943"/>
        <w:gridCol w:w="53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一级指标</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二级指标 </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三级指标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指标解释及说明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1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决策</w:t>
            </w: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目标设定</w:t>
            </w:r>
            <w:r>
              <w:rPr>
                <w:rFonts w:hint="eastAsia" w:ascii="宋体" w:hAnsi="宋体" w:eastAsia="宋体" w:cs="宋体"/>
                <w:i w:val="0"/>
                <w:iCs w:val="0"/>
                <w:color w:val="auto"/>
                <w:kern w:val="0"/>
                <w:sz w:val="20"/>
                <w:szCs w:val="20"/>
                <w:u w:val="none"/>
                <w:lang w:val="en-US" w:eastAsia="zh-CN" w:bidi="ar"/>
              </w:rPr>
              <w:br w:type="textWrapping"/>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绩效目标与部门职能相符程度</w:t>
            </w:r>
          </w:p>
        </w:tc>
        <w:tc>
          <w:tcPr>
            <w:tcW w:w="5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部门所设立的整体绩效目标依据是否充分，是否符合客观实际，用以反映和考核部门整体绩效目标与部门履职、年度工作任务的相符性情况。                                                  评价要点：                                                ①是否符合国家法律法规、国民经济和社会发展总体规划；                                                                  ②是否符合部门“三定”方案确定的职责；                    ③是否符合部门制定的中长期实施规划。                               绩效目标条目数是指单位与政府签订的年度目标责任书中的与绩效目标相关的条目数。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工作任务与绩效目标匹配程度</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目标任务分解情况</w:t>
            </w:r>
          </w:p>
        </w:tc>
        <w:tc>
          <w:tcPr>
            <w:tcW w:w="5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部门依据整体绩效目标所设定的绩效指标是否清晰、细化、可衡量，用以反映和考核部门整体绩效目标的明细化情况。                                                       评价要点：                                                ①是否将部门整体的绩效目标细化分解为具体的工作任务。                                                                 ②是否通过清晰、可衡量的指标值予以体现。                  ③是否与部门年度的任务数或计划数相对应；                  ④是否与本年度部门预算资金相匹配。                         目标任务分解情况是指部门整体的绩效目标是否细化分解为具体的工作任务。包括：①是否分解；②分解有无遗漏。                                                                      目标任务量化情况是指绩效指标是否通过清晰、可衡量的指标值予以体现。包括：①任务是否量化可考核；②任务是否与资金匹配或有资金保障。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目标任务量化情况</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预算配置</w:t>
            </w:r>
            <w:r>
              <w:rPr>
                <w:rFonts w:hint="eastAsia" w:ascii="宋体" w:hAnsi="宋体" w:eastAsia="宋体" w:cs="宋体"/>
                <w:i w:val="0"/>
                <w:iCs w:val="0"/>
                <w:color w:val="auto"/>
                <w:kern w:val="0"/>
                <w:sz w:val="20"/>
                <w:szCs w:val="20"/>
                <w:u w:val="none"/>
                <w:lang w:val="en-US" w:eastAsia="zh-CN" w:bidi="ar"/>
              </w:rPr>
              <w:br w:type="textWrapping"/>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部门人员编制数的确定性</w:t>
            </w:r>
          </w:p>
        </w:tc>
        <w:tc>
          <w:tcPr>
            <w:tcW w:w="5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部门本年度实际在职人员数与编制数的比率，用以反映和考核部门对人员成本的控制程度。                                     在职人员编制数：机构编制部门核定批复的部门的人员编制数。                                                 在职人员数：部门实际在职人数，以财政部确定的部门决算编制口径为准。                                                                                在职人员控制率=（在职人员数/编制数）×100%。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部门在职人员数的确定性</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在职人员控制率</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支出配置</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“三公经费”金额的真实性</w:t>
            </w:r>
          </w:p>
        </w:tc>
        <w:tc>
          <w:tcPr>
            <w:tcW w:w="5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部门本年度“三公经费”预算数与上年度“三公经费”预算数的变动比率，用以反映和考核部门对控制重点行政成本的努力程度。                                                      “三公经费”：年度预算安排的因公出国（境）费、公务车辆购置及运行费和公务招待费。                                     “三公经费”变动率=[（本年度“三公经费”总额-上年度“三公经费”总额）/上年度“三公经费”总额]×100%。                                                                          注：根据国家要求，“三公经费”原则上要求只减不增。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三公经费”变动率</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重点支出安排率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部门本年度预算安排的重点项目支出与部门项目总支出的比率，用以反映和考核部门对履行主要职责或完成重点任务的保障程度。  重点支出安排率=（重点项目拨款/项目总拨款）×100%。                                                       重点项目支出：部门年度预算安排的，与本部门履职和发展密切相关、具有明显社会和经济影响、党委政府关心或社会比较关注的项目支出总额。                                                    项目总支出：部门年度预算安排的项目支出总额。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11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过程</w:t>
            </w: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预算执行</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预算完成率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部门本年度预算完成数与预算数的比率，用以反映和考核部门预算完成程度。                                                  预算完成率=（预算完成数/预算数）×100%。                       预算完成数：部门本年度实际完成的预算数。                       预算数：财政部门批复的本年度部门预算数。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预算调整率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部门本年度预算调整数与预算数的比率，用以反映和考核部门预算的调整程度。                                               预算调整率=（预算调整数/预算数）×100%。                   预算调整数：部门在本年度内涉及预算的追加、追减或结构调整的资金总和（因落实国家政策、发生不可抗力、上级部门或本级党委政府临时交办而产生的调整除外）。                                注：若有预算调整，则分析其主客观原因后对其打分，原因不合理或无批复得0分。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支付进度率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部门实际支付进度与既定支付进度的比率，用以反映和考核部门预算执行的及时性和均衡性程度。                              支付进度率=（实际支付进度/既定支付进度）×100%。                实际支付进度：部门在某一时点的支出预算执行总数与年度支出预算数的比率。                                                既定支付进度：由部门在申报部门整体绩效目标时，参照序时支付进度、前三年支付进度、同级部门平均支付进度水平等确定的，在某一时点应达到的支付进度（比率）。                                      支付进度率即分季支付率（每季支付金额/当季拨款额）。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公用经费控制率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部门本年度预算安排实际支出的公用经费总额与预算安排的公用经费拨款总额的比率，用以反映和考核部门对机构运转成本的实际控制程度。                                                                                       公用经费控制率=（本年预算安排实际支出公用经费总额/预算安排公用经费拨款总额）×100%。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5"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“三公经费”控制率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部门本年度财政拨款（含项目经费）“三公经费”实际支出数与预算安排数的比率，用以反映和考核部门对“三公经费”的实际控制程度。                                                           “三公经费”控制率=（财政拨款“三公经费”实际支出数/财政拨款“三公经费”预算安排数）×100%。                                  注：若有经费变动，则分析其主客观原因后对其打分，原因不合理或无批复得0分。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政府采购执行率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部门本年度实际政府采购金额与年初政府采购预算的比率，用以反映和考核部门政府采购预算执行情况。                                     政府采购执行率=（实际政府采购金额/政府采购预算数）×100%。政府采购预算：采购机关根据事业发展计划和行政任务编制的、并经过规定程序批准的年度政府采购计划。                                                                            注：若有采购变动，则分析其主客观原因后对其打分，原因不合理或无批复得0分。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预算管理</w:t>
            </w:r>
            <w:r>
              <w:rPr>
                <w:rFonts w:hint="eastAsia" w:ascii="宋体" w:hAnsi="宋体" w:eastAsia="宋体" w:cs="宋体"/>
                <w:i w:val="0"/>
                <w:iCs w:val="0"/>
                <w:color w:val="auto"/>
                <w:kern w:val="0"/>
                <w:sz w:val="20"/>
                <w:szCs w:val="20"/>
                <w:u w:val="none"/>
                <w:lang w:val="en-US" w:eastAsia="zh-CN" w:bidi="ar"/>
              </w:rPr>
              <w:br w:type="textWrapping"/>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内部控制与财务管理制度健全性</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部门为加强预算管理、规范财务行为而制定的管理制度是否健全完整，用以反映和考核部门预算管理制度对完成主要职责或促进事业发展的保障情况。                                          评价要点：                                                ①是否已制定或具有预算资金管理办法、内部财务管理制度、会计核算制度等管理制度；                                                ②相关管理制度是否合法、合规、完整；                       ③相关管理制度是否得到有效执行。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资金使用合规性</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部门使用预算资金是否符合相关的预算财务管理制度的规定，用以反映和考核部门预算资金的规范运行情况。                     评价要点：                                                   ①资金使用是否经过审批；                                      ②审批流程是否完备；                                                  ③审批流程是否得到有效执行；                                ④支出是否符合财务管理要求；                                     ⑤支出是否符合资金管理要求；                                       ⑥支出报销手续是否齐备；                                        ⑦支出是否符合批复用途；                                           ⑧是否存在挤占、挪用、截留、虚报冒领等虚假支出。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预决算信息公开性</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部门是否按照政府信息公开有关规定公开相关预决算信息，用以反映和考核部门预决算管理的公开透明情况。                                   评价要点：                                                               ①是否按规定内容公开预决算信息；                                  ②是否按规定时限公开预决算信息。                                          预决算信息是指与部门预算、执行、决算、监督、绩效等管理相关的信息。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基础信息完善性</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部门基础信息是否完善，用以反映和考核基础信息对预算管理工作的支撑情况。评价要点：                                                ①基础数据信息和会计信息资料是否真实；                            ②基础数据信息和会计信息资料是否完整；                         ③基础数据信息和会计信息资料是否准确。                            注：请对信息完善情况做简要描述。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5"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绩效自评</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部门（单位）是否按照财政部关于印发项目支出绩效评价管理暂行办法的通知》（财预〔2020〕10号）、《黑龙江省财政厅关于印发《黑龙江省省级项目支出部门评价和财政评价工作操作规范（试行）的通知》。评价要点：</w:t>
            </w:r>
          </w:p>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①是否建立了绩效自评组织机构，并按自评工作程序开展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资产管理</w:t>
            </w:r>
            <w:r>
              <w:rPr>
                <w:rFonts w:hint="eastAsia" w:ascii="宋体" w:hAnsi="宋体" w:eastAsia="宋体" w:cs="宋体"/>
                <w:i w:val="0"/>
                <w:iCs w:val="0"/>
                <w:color w:val="auto"/>
                <w:kern w:val="0"/>
                <w:sz w:val="20"/>
                <w:szCs w:val="20"/>
                <w:u w:val="none"/>
                <w:lang w:val="en-US" w:eastAsia="zh-CN" w:bidi="ar"/>
              </w:rPr>
              <w:br w:type="textWrapping"/>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资产管理制度健全性</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部门为加强资产管理、规范资产管理行为而制定的管理制度是否健全完整，用以反映和考核部门资产管理制度对完成主要职责或促进社会发展的保障情况。评价要点：                                                               ①是否已制定或具有资产管理制度；                            ②相关资金管理制度是否合法、合规、完整；                         ③相关资产管理制度是否得到有效执行。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资产管理安全性</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部门的资产是否保存完整、使用合规、配置合理、处置规范、收入及时足额上缴，用以反映和考核部门资产安全运行情况。                                                         评价要点：                                                           ①资产保存是否完整；                                                 ②资产配置是否合理；                                                  ③资产处置是否规范；                                                   ④资产是否有偿使用及处置收入及时足额上缴；                        ⑤资产账务管理是否合规，是否账实相符。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固定资产利用率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部门实际在用固定资产总额与所有固定资产总额的比率，用以反映和考核部门固定资产使用效率程度。                                 固定资产利用率=（实际在用固定资产总额/所有固定资产总额）×100%。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1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产出</w:t>
            </w: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重点工作</w:t>
            </w:r>
            <w:r>
              <w:rPr>
                <w:rFonts w:hint="eastAsia" w:ascii="宋体" w:hAnsi="宋体" w:eastAsia="宋体" w:cs="宋体"/>
                <w:i w:val="0"/>
                <w:iCs w:val="0"/>
                <w:color w:val="auto"/>
                <w:kern w:val="0"/>
                <w:sz w:val="20"/>
                <w:szCs w:val="20"/>
                <w:u w:val="none"/>
                <w:lang w:val="en-US" w:eastAsia="zh-CN" w:bidi="ar"/>
              </w:rPr>
              <w:br w:type="textWrapping"/>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安邦河流域水环境综合整治</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用以反映部门（单位）对基础设施建设工作开展情况。评价要点：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①是否制定项目实施方案；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②是否进行指导、监督检查；</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③是否进行质量验收；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④完成情况。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寒葱沟水库水源地生态拦截坝清淤</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用以反映部门（单位）对基础设施建设工作开展情况。评价要点：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①是否制定项目实施方案；</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②是否进行招投标管理；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③是否进行质量验收；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④完成情况。                                              ⑤档案管理情况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职责履行</w:t>
            </w:r>
            <w:r>
              <w:rPr>
                <w:rFonts w:hint="eastAsia" w:ascii="宋体" w:hAnsi="宋体" w:eastAsia="宋体" w:cs="宋体"/>
                <w:i w:val="0"/>
                <w:iCs w:val="0"/>
                <w:color w:val="auto"/>
                <w:kern w:val="0"/>
                <w:sz w:val="20"/>
                <w:szCs w:val="20"/>
                <w:u w:val="none"/>
                <w:lang w:val="en-US" w:eastAsia="zh-CN" w:bidi="ar"/>
              </w:rPr>
              <w:br w:type="textWrapping"/>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执行项目完成率</w:t>
            </w:r>
          </w:p>
        </w:tc>
        <w:tc>
          <w:tcPr>
            <w:tcW w:w="5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部门履行职责而实际完成项目数与计划项目数的比率，用以反映和考核部门履职工作任务目标的实现程度。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执行项目完成率=（实际完成项目数/计划执行项目数）×100%。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实际完成项目数：部门整体绩效目标确定的一定时期（年度或规划期）内实际完成项目的数量，以及项目一定时期（年度或规划期）内实际完成项目数量。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说明：仅指由县疾病预防控制中心执行的项目（不含下达的项目）。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执行项目完成及时率</w:t>
            </w:r>
          </w:p>
        </w:tc>
        <w:tc>
          <w:tcPr>
            <w:tcW w:w="53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完成及时率=(及时完成项目数/计划执行项目数)×100%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1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效益</w:t>
            </w: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社会效益</w:t>
            </w:r>
            <w:r>
              <w:rPr>
                <w:rFonts w:hint="eastAsia" w:ascii="宋体" w:hAnsi="宋体" w:eastAsia="宋体" w:cs="宋体"/>
                <w:i w:val="0"/>
                <w:iCs w:val="0"/>
                <w:color w:val="auto"/>
                <w:kern w:val="0"/>
                <w:sz w:val="20"/>
                <w:szCs w:val="20"/>
                <w:u w:val="none"/>
                <w:lang w:val="en-US" w:eastAsia="zh-CN" w:bidi="ar"/>
              </w:rPr>
              <w:br w:type="textWrapping"/>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处理突发事件的应急处理能力有所提高</w:t>
            </w:r>
          </w:p>
        </w:tc>
        <w:tc>
          <w:tcPr>
            <w:tcW w:w="5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来自问卷调查(对每一份问卷单独评分，汇总得到该项的评分分值)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保障群众饮水安全方面有所提高</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河道、城市管网的治理，在保障群众财产安全方面得到提升</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改善了周边环境，提升了生活质量</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防汛抗旱的能力有所提高</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满意度</w:t>
            </w:r>
            <w:r>
              <w:rPr>
                <w:rFonts w:hint="eastAsia" w:ascii="宋体" w:hAnsi="宋体" w:eastAsia="宋体" w:cs="宋体"/>
                <w:i w:val="0"/>
                <w:iCs w:val="0"/>
                <w:color w:val="auto"/>
                <w:kern w:val="0"/>
                <w:sz w:val="20"/>
                <w:szCs w:val="20"/>
                <w:u w:val="none"/>
                <w:lang w:val="en-US" w:eastAsia="zh-CN" w:bidi="ar"/>
              </w:rPr>
              <w:br w:type="textWrapping"/>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社会公众或服务对象满意度</w:t>
            </w:r>
          </w:p>
        </w:tc>
        <w:tc>
          <w:tcPr>
            <w:tcW w:w="5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来自问卷调查(对每一份问卷单独评分，汇总得到该项的评分分值)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内部职工满意度</w:t>
            </w:r>
          </w:p>
        </w:tc>
        <w:tc>
          <w:tcPr>
            <w:tcW w:w="5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bl>
    <w:p>
      <w:pPr>
        <w:spacing w:line="360" w:lineRule="auto"/>
        <w:ind w:firstLine="560" w:firstLineChars="200"/>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4、指标权重</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指标权重见指标体系明细构成及标准分值表。</w:t>
      </w:r>
    </w:p>
    <w:p>
      <w:pPr>
        <w:spacing w:line="360" w:lineRule="auto"/>
        <w:ind w:firstLine="560" w:firstLineChars="200"/>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5、数据来源</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项目单位所提供</w:t>
      </w:r>
      <w:r>
        <w:rPr>
          <w:rFonts w:hint="eastAsia" w:asciiTheme="minorEastAsia" w:hAnsiTheme="minorEastAsia" w:eastAsiaTheme="minorEastAsia" w:cstheme="minorEastAsia"/>
          <w:color w:val="auto"/>
          <w:sz w:val="28"/>
          <w:szCs w:val="28"/>
          <w:lang w:eastAsia="zh-CN"/>
        </w:rPr>
        <w:t>及外调取得</w:t>
      </w:r>
      <w:r>
        <w:rPr>
          <w:rFonts w:hint="eastAsia" w:asciiTheme="minorEastAsia" w:hAnsiTheme="minorEastAsia" w:eastAsiaTheme="minorEastAsia" w:cstheme="minorEastAsia"/>
          <w:color w:val="auto"/>
          <w:sz w:val="28"/>
          <w:szCs w:val="28"/>
        </w:rPr>
        <w:t>资料。</w:t>
      </w:r>
    </w:p>
    <w:p>
      <w:pPr>
        <w:spacing w:line="360" w:lineRule="auto"/>
        <w:ind w:firstLine="560" w:firstLineChars="200"/>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6、证据收集方式</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证据收集方式主要有政策文件、政府网站、项目单位提供资料、调查问卷等。</w:t>
      </w:r>
    </w:p>
    <w:p>
      <w:pPr>
        <w:spacing w:line="360" w:lineRule="auto"/>
        <w:ind w:firstLine="562" w:firstLineChars="200"/>
        <w:outlineLvl w:val="1"/>
        <w:rPr>
          <w:rFonts w:hint="eastAsia" w:asciiTheme="minorEastAsia" w:hAnsiTheme="minorEastAsia" w:eastAsiaTheme="minorEastAsia" w:cstheme="minorEastAsia"/>
          <w:b/>
          <w:bCs/>
          <w:color w:val="auto"/>
          <w:sz w:val="28"/>
          <w:szCs w:val="28"/>
        </w:rPr>
      </w:pPr>
      <w:bookmarkStart w:id="47" w:name="_Toc13803"/>
      <w:bookmarkStart w:id="48" w:name="_Toc6683"/>
      <w:r>
        <w:rPr>
          <w:rFonts w:hint="eastAsia" w:asciiTheme="minorEastAsia" w:hAnsiTheme="minorEastAsia" w:eastAsiaTheme="minorEastAsia" w:cstheme="minorEastAsia"/>
          <w:b/>
          <w:bCs/>
          <w:color w:val="auto"/>
          <w:sz w:val="28"/>
          <w:szCs w:val="28"/>
        </w:rPr>
        <w:t>（四）评价人员组成</w:t>
      </w:r>
      <w:bookmarkEnd w:id="47"/>
      <w:bookmarkEnd w:id="48"/>
    </w:p>
    <w:p>
      <w:pPr>
        <w:pStyle w:val="2"/>
        <w:jc w:val="center"/>
        <w:rPr>
          <w:rFonts w:hint="eastAsia" w:ascii="宋体" w:hAnsi="宋体" w:eastAsia="宋体" w:cs="宋体"/>
          <w:color w:val="auto"/>
          <w:sz w:val="28"/>
          <w:szCs w:val="28"/>
          <w:lang w:val="en-US" w:eastAsia="zh-CN"/>
        </w:rPr>
      </w:pPr>
      <w:bookmarkStart w:id="49" w:name="_Toc24583"/>
      <w:r>
        <w:rPr>
          <w:rFonts w:hint="eastAsia" w:ascii="宋体" w:hAnsi="宋体" w:eastAsia="宋体" w:cs="宋体"/>
          <w:color w:val="auto"/>
          <w:sz w:val="28"/>
          <w:szCs w:val="28"/>
          <w:lang w:val="en-US" w:eastAsia="zh-CN"/>
        </w:rPr>
        <w:t>工作组</w:t>
      </w:r>
    </w:p>
    <w:tbl>
      <w:tblPr>
        <w:tblStyle w:val="12"/>
        <w:tblW w:w="9091" w:type="dxa"/>
        <w:tblInd w:w="0" w:type="dxa"/>
        <w:tblLayout w:type="fixed"/>
        <w:tblCellMar>
          <w:top w:w="0" w:type="dxa"/>
          <w:left w:w="0" w:type="dxa"/>
          <w:bottom w:w="0" w:type="dxa"/>
          <w:right w:w="0" w:type="dxa"/>
        </w:tblCellMar>
      </w:tblPr>
      <w:tblGrid>
        <w:gridCol w:w="1186"/>
        <w:gridCol w:w="990"/>
        <w:gridCol w:w="1416"/>
        <w:gridCol w:w="1010"/>
        <w:gridCol w:w="2060"/>
        <w:gridCol w:w="2429"/>
      </w:tblGrid>
      <w:tr>
        <w:tblPrEx>
          <w:tblCellMar>
            <w:top w:w="0" w:type="dxa"/>
            <w:left w:w="0" w:type="dxa"/>
            <w:bottom w:w="0" w:type="dxa"/>
            <w:right w:w="0" w:type="dxa"/>
          </w:tblCellMar>
        </w:tblPrEx>
        <w:trPr>
          <w:trHeight w:val="567" w:hRule="atLeast"/>
        </w:trPr>
        <w:tc>
          <w:tcPr>
            <w:tcW w:w="118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项目职务</w:t>
            </w:r>
          </w:p>
        </w:tc>
        <w:tc>
          <w:tcPr>
            <w:tcW w:w="9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姓名</w:t>
            </w:r>
          </w:p>
        </w:tc>
        <w:tc>
          <w:tcPr>
            <w:tcW w:w="141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单位</w:t>
            </w:r>
          </w:p>
        </w:tc>
        <w:tc>
          <w:tcPr>
            <w:tcW w:w="101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专业</w:t>
            </w:r>
          </w:p>
        </w:tc>
        <w:tc>
          <w:tcPr>
            <w:tcW w:w="20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职业资格</w:t>
            </w:r>
          </w:p>
        </w:tc>
        <w:tc>
          <w:tcPr>
            <w:tcW w:w="2429"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职责</w:t>
            </w:r>
          </w:p>
        </w:tc>
      </w:tr>
      <w:tr>
        <w:tblPrEx>
          <w:tblCellMar>
            <w:top w:w="0" w:type="dxa"/>
            <w:left w:w="0" w:type="dxa"/>
            <w:bottom w:w="0" w:type="dxa"/>
            <w:right w:w="0" w:type="dxa"/>
          </w:tblCellMar>
        </w:tblPrEx>
        <w:trPr>
          <w:trHeight w:val="567" w:hRule="atLeast"/>
        </w:trPr>
        <w:tc>
          <w:tcPr>
            <w:tcW w:w="118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bidi="ar"/>
              </w:rPr>
              <w:t>项目负责人</w:t>
            </w:r>
            <w:r>
              <w:rPr>
                <w:rFonts w:hint="eastAsia" w:ascii="宋体" w:hAnsi="宋体" w:eastAsia="宋体" w:cs="宋体"/>
                <w:color w:val="auto"/>
                <w:sz w:val="22"/>
                <w:szCs w:val="22"/>
                <w:lang w:val="en-US" w:eastAsia="zh-CN" w:bidi="ar"/>
              </w:rPr>
              <w:t>及主评人</w:t>
            </w:r>
          </w:p>
        </w:tc>
        <w:tc>
          <w:tcPr>
            <w:tcW w:w="9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张 迪</w:t>
            </w:r>
          </w:p>
        </w:tc>
        <w:tc>
          <w:tcPr>
            <w:tcW w:w="141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国咨项目管理有限公司</w:t>
            </w:r>
          </w:p>
        </w:tc>
        <w:tc>
          <w:tcPr>
            <w:tcW w:w="101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统计</w:t>
            </w:r>
          </w:p>
        </w:tc>
        <w:tc>
          <w:tcPr>
            <w:tcW w:w="20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研究员级高级经济师</w:t>
            </w:r>
          </w:p>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统计从业资格</w:t>
            </w:r>
          </w:p>
        </w:tc>
        <w:tc>
          <w:tcPr>
            <w:tcW w:w="2429"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left"/>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负责项目总体技术支持；</w:t>
            </w:r>
          </w:p>
          <w:p>
            <w:pPr>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负责项目重大事项；</w:t>
            </w:r>
          </w:p>
          <w:p>
            <w:pPr>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负责项目评价报告质量复核。</w:t>
            </w:r>
          </w:p>
        </w:tc>
      </w:tr>
      <w:tr>
        <w:tblPrEx>
          <w:tblCellMar>
            <w:top w:w="0" w:type="dxa"/>
            <w:left w:w="0" w:type="dxa"/>
            <w:bottom w:w="0" w:type="dxa"/>
            <w:right w:w="0" w:type="dxa"/>
          </w:tblCellMar>
        </w:tblPrEx>
        <w:trPr>
          <w:trHeight w:val="567" w:hRule="atLeast"/>
        </w:trPr>
        <w:tc>
          <w:tcPr>
            <w:tcW w:w="118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辅评人</w:t>
            </w:r>
          </w:p>
        </w:tc>
        <w:tc>
          <w:tcPr>
            <w:tcW w:w="9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孙志楠</w:t>
            </w:r>
          </w:p>
        </w:tc>
        <w:tc>
          <w:tcPr>
            <w:tcW w:w="141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国咨项目管理有限公司</w:t>
            </w:r>
          </w:p>
        </w:tc>
        <w:tc>
          <w:tcPr>
            <w:tcW w:w="101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咨询</w:t>
            </w:r>
          </w:p>
        </w:tc>
        <w:tc>
          <w:tcPr>
            <w:tcW w:w="20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高级工程师</w:t>
            </w:r>
          </w:p>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注册咨询工程师</w:t>
            </w:r>
          </w:p>
        </w:tc>
        <w:tc>
          <w:tcPr>
            <w:tcW w:w="2429"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left"/>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协助主评人执行总体评价工作的组织和实施；</w:t>
            </w:r>
          </w:p>
          <w:p>
            <w:pPr>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负责资料收集整理工作。</w:t>
            </w:r>
          </w:p>
        </w:tc>
      </w:tr>
      <w:tr>
        <w:tblPrEx>
          <w:tblCellMar>
            <w:top w:w="0" w:type="dxa"/>
            <w:left w:w="0" w:type="dxa"/>
            <w:bottom w:w="0" w:type="dxa"/>
            <w:right w:w="0" w:type="dxa"/>
          </w:tblCellMar>
        </w:tblPrEx>
        <w:trPr>
          <w:trHeight w:val="567" w:hRule="atLeast"/>
        </w:trPr>
        <w:tc>
          <w:tcPr>
            <w:tcW w:w="118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辅评人</w:t>
            </w:r>
          </w:p>
        </w:tc>
        <w:tc>
          <w:tcPr>
            <w:tcW w:w="9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刘婷婷</w:t>
            </w:r>
          </w:p>
        </w:tc>
        <w:tc>
          <w:tcPr>
            <w:tcW w:w="141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国咨项目管理有限公司</w:t>
            </w:r>
          </w:p>
        </w:tc>
        <w:tc>
          <w:tcPr>
            <w:tcW w:w="101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造价</w:t>
            </w:r>
          </w:p>
        </w:tc>
        <w:tc>
          <w:tcPr>
            <w:tcW w:w="20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工程师</w:t>
            </w:r>
          </w:p>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注册造价工程师</w:t>
            </w:r>
          </w:p>
        </w:tc>
        <w:tc>
          <w:tcPr>
            <w:tcW w:w="2429"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left"/>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协助主评人执行总体评价工作的组织和实施；</w:t>
            </w:r>
          </w:p>
          <w:p>
            <w:pPr>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负责资料收集整理工作。</w:t>
            </w:r>
          </w:p>
        </w:tc>
      </w:tr>
      <w:tr>
        <w:tblPrEx>
          <w:tblCellMar>
            <w:top w:w="0" w:type="dxa"/>
            <w:left w:w="0" w:type="dxa"/>
            <w:bottom w:w="0" w:type="dxa"/>
            <w:right w:w="0" w:type="dxa"/>
          </w:tblCellMar>
        </w:tblPrEx>
        <w:trPr>
          <w:trHeight w:val="567" w:hRule="atLeast"/>
        </w:trPr>
        <w:tc>
          <w:tcPr>
            <w:tcW w:w="118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辅评人</w:t>
            </w:r>
          </w:p>
        </w:tc>
        <w:tc>
          <w:tcPr>
            <w:tcW w:w="9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荆彦旭</w:t>
            </w:r>
          </w:p>
        </w:tc>
        <w:tc>
          <w:tcPr>
            <w:tcW w:w="1416"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国咨项目管理有限公司</w:t>
            </w:r>
          </w:p>
        </w:tc>
        <w:tc>
          <w:tcPr>
            <w:tcW w:w="101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财务</w:t>
            </w:r>
          </w:p>
        </w:tc>
        <w:tc>
          <w:tcPr>
            <w:tcW w:w="20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中级会计师</w:t>
            </w:r>
          </w:p>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绩效评价师</w:t>
            </w:r>
          </w:p>
        </w:tc>
        <w:tc>
          <w:tcPr>
            <w:tcW w:w="2429"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left"/>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协助主评人执行总体评价工作的组织和实施；</w:t>
            </w:r>
          </w:p>
          <w:p>
            <w:pPr>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负责资料收集整理工作。</w:t>
            </w:r>
          </w:p>
        </w:tc>
      </w:tr>
    </w:tbl>
    <w:p>
      <w:pPr>
        <w:pStyle w:val="2"/>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专家组</w:t>
      </w:r>
    </w:p>
    <w:tbl>
      <w:tblPr>
        <w:tblStyle w:val="12"/>
        <w:tblW w:w="9092" w:type="dxa"/>
        <w:tblInd w:w="0" w:type="dxa"/>
        <w:tblLayout w:type="fixed"/>
        <w:tblCellMar>
          <w:top w:w="0" w:type="dxa"/>
          <w:left w:w="0" w:type="dxa"/>
          <w:bottom w:w="0" w:type="dxa"/>
          <w:right w:w="0" w:type="dxa"/>
        </w:tblCellMar>
      </w:tblPr>
      <w:tblGrid>
        <w:gridCol w:w="1163"/>
        <w:gridCol w:w="973"/>
        <w:gridCol w:w="1390"/>
        <w:gridCol w:w="992"/>
        <w:gridCol w:w="2021"/>
        <w:gridCol w:w="2553"/>
      </w:tblGrid>
      <w:tr>
        <w:tblPrEx>
          <w:tblCellMar>
            <w:top w:w="0" w:type="dxa"/>
            <w:left w:w="0" w:type="dxa"/>
            <w:bottom w:w="0" w:type="dxa"/>
            <w:right w:w="0" w:type="dxa"/>
          </w:tblCellMar>
        </w:tblPrEx>
        <w:trPr>
          <w:trHeight w:val="567" w:hRule="atLeast"/>
        </w:trPr>
        <w:tc>
          <w:tcPr>
            <w:tcW w:w="11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项目职务</w:t>
            </w:r>
          </w:p>
        </w:tc>
        <w:tc>
          <w:tcPr>
            <w:tcW w:w="97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姓名</w:t>
            </w:r>
          </w:p>
        </w:tc>
        <w:tc>
          <w:tcPr>
            <w:tcW w:w="13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单位</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专业</w:t>
            </w:r>
          </w:p>
        </w:tc>
        <w:tc>
          <w:tcPr>
            <w:tcW w:w="2021"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职业资格</w:t>
            </w:r>
          </w:p>
        </w:tc>
        <w:tc>
          <w:tcPr>
            <w:tcW w:w="255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lang w:bidi="ar"/>
              </w:rPr>
              <w:t>职责</w:t>
            </w:r>
          </w:p>
        </w:tc>
      </w:tr>
      <w:tr>
        <w:tblPrEx>
          <w:tblCellMar>
            <w:top w:w="0" w:type="dxa"/>
            <w:left w:w="0" w:type="dxa"/>
            <w:bottom w:w="0" w:type="dxa"/>
            <w:right w:w="0" w:type="dxa"/>
          </w:tblCellMar>
        </w:tblPrEx>
        <w:trPr>
          <w:trHeight w:val="567" w:hRule="atLeast"/>
        </w:trPr>
        <w:tc>
          <w:tcPr>
            <w:tcW w:w="11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外聘专家</w:t>
            </w:r>
          </w:p>
        </w:tc>
        <w:tc>
          <w:tcPr>
            <w:tcW w:w="97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王泽彩</w:t>
            </w:r>
          </w:p>
        </w:tc>
        <w:tc>
          <w:tcPr>
            <w:tcW w:w="13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中国财政科学研究院政府绩效研究中心</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绩效管理</w:t>
            </w:r>
          </w:p>
        </w:tc>
        <w:tc>
          <w:tcPr>
            <w:tcW w:w="2021"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中心主任</w:t>
            </w:r>
          </w:p>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研究员</w:t>
            </w:r>
          </w:p>
        </w:tc>
        <w:tc>
          <w:tcPr>
            <w:tcW w:w="255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lang w:bidi="ar"/>
              </w:rPr>
              <w:t>对项目指标、实施方案和绩效评价报告进行评审。</w:t>
            </w:r>
          </w:p>
        </w:tc>
      </w:tr>
      <w:tr>
        <w:tblPrEx>
          <w:tblCellMar>
            <w:top w:w="0" w:type="dxa"/>
            <w:left w:w="0" w:type="dxa"/>
            <w:bottom w:w="0" w:type="dxa"/>
            <w:right w:w="0" w:type="dxa"/>
          </w:tblCellMar>
        </w:tblPrEx>
        <w:trPr>
          <w:trHeight w:val="567" w:hRule="atLeast"/>
        </w:trPr>
        <w:tc>
          <w:tcPr>
            <w:tcW w:w="11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外聘专家</w:t>
            </w:r>
          </w:p>
        </w:tc>
        <w:tc>
          <w:tcPr>
            <w:tcW w:w="97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曹堂哲</w:t>
            </w:r>
          </w:p>
        </w:tc>
        <w:tc>
          <w:tcPr>
            <w:tcW w:w="13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中央财经大学</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绩效评价</w:t>
            </w:r>
          </w:p>
        </w:tc>
        <w:tc>
          <w:tcPr>
            <w:tcW w:w="2021"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教授</w:t>
            </w:r>
          </w:p>
        </w:tc>
        <w:tc>
          <w:tcPr>
            <w:tcW w:w="255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left"/>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对项目指标、实施方案和绩效评价报告进行评审。</w:t>
            </w:r>
          </w:p>
        </w:tc>
      </w:tr>
      <w:tr>
        <w:tblPrEx>
          <w:tblCellMar>
            <w:top w:w="0" w:type="dxa"/>
            <w:left w:w="0" w:type="dxa"/>
            <w:bottom w:w="0" w:type="dxa"/>
            <w:right w:w="0" w:type="dxa"/>
          </w:tblCellMar>
        </w:tblPrEx>
        <w:trPr>
          <w:trHeight w:val="567" w:hRule="atLeast"/>
        </w:trPr>
        <w:tc>
          <w:tcPr>
            <w:tcW w:w="11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外聘专家</w:t>
            </w:r>
          </w:p>
        </w:tc>
        <w:tc>
          <w:tcPr>
            <w:tcW w:w="97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林 靖</w:t>
            </w:r>
          </w:p>
        </w:tc>
        <w:tc>
          <w:tcPr>
            <w:tcW w:w="13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哈尔滨动力设备物流有限责任公司</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会计</w:t>
            </w:r>
          </w:p>
        </w:tc>
        <w:tc>
          <w:tcPr>
            <w:tcW w:w="2021"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高级会计师</w:t>
            </w:r>
          </w:p>
        </w:tc>
        <w:tc>
          <w:tcPr>
            <w:tcW w:w="255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left"/>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对项目指标、实施方案和绩效评价报告进行评审。</w:t>
            </w:r>
          </w:p>
        </w:tc>
      </w:tr>
      <w:tr>
        <w:tblPrEx>
          <w:tblCellMar>
            <w:top w:w="0" w:type="dxa"/>
            <w:left w:w="0" w:type="dxa"/>
            <w:bottom w:w="0" w:type="dxa"/>
            <w:right w:w="0" w:type="dxa"/>
          </w:tblCellMar>
        </w:tblPrEx>
        <w:trPr>
          <w:trHeight w:val="567" w:hRule="atLeast"/>
        </w:trPr>
        <w:tc>
          <w:tcPr>
            <w:tcW w:w="11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外聘专家</w:t>
            </w:r>
          </w:p>
        </w:tc>
        <w:tc>
          <w:tcPr>
            <w:tcW w:w="97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高丽婧</w:t>
            </w:r>
          </w:p>
        </w:tc>
        <w:tc>
          <w:tcPr>
            <w:tcW w:w="139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 xml:space="preserve">黑龙江正达会计师事务所有限公司 </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审计</w:t>
            </w:r>
          </w:p>
        </w:tc>
        <w:tc>
          <w:tcPr>
            <w:tcW w:w="2021"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注册会计师</w:t>
            </w:r>
          </w:p>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高级会计师</w:t>
            </w:r>
          </w:p>
        </w:tc>
        <w:tc>
          <w:tcPr>
            <w:tcW w:w="255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left"/>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对项目指标、实施方案和绩效评价报告进行评审。</w:t>
            </w:r>
          </w:p>
        </w:tc>
      </w:tr>
      <w:tr>
        <w:tblPrEx>
          <w:tblCellMar>
            <w:top w:w="0" w:type="dxa"/>
            <w:left w:w="0" w:type="dxa"/>
            <w:bottom w:w="0" w:type="dxa"/>
            <w:right w:w="0" w:type="dxa"/>
          </w:tblCellMar>
        </w:tblPrEx>
        <w:trPr>
          <w:trHeight w:val="567" w:hRule="atLeast"/>
        </w:trPr>
        <w:tc>
          <w:tcPr>
            <w:tcW w:w="1163"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jc w:val="center"/>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外聘专家</w:t>
            </w:r>
          </w:p>
        </w:tc>
        <w:tc>
          <w:tcPr>
            <w:tcW w:w="973"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张喜娟</w:t>
            </w:r>
          </w:p>
        </w:tc>
        <w:tc>
          <w:tcPr>
            <w:tcW w:w="1390"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 xml:space="preserve">黑龙江信息技术职业学院 </w:t>
            </w:r>
          </w:p>
        </w:tc>
        <w:tc>
          <w:tcPr>
            <w:tcW w:w="992"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财务</w:t>
            </w:r>
          </w:p>
        </w:tc>
        <w:tc>
          <w:tcPr>
            <w:tcW w:w="2021"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color w:val="auto"/>
                <w:sz w:val="22"/>
                <w:szCs w:val="22"/>
              </w:rPr>
            </w:pPr>
            <w:r>
              <w:rPr>
                <w:rFonts w:hint="eastAsia" w:ascii="宋体" w:hAnsi="宋体" w:eastAsia="宋体" w:cs="宋体"/>
                <w:color w:val="auto"/>
                <w:sz w:val="22"/>
                <w:szCs w:val="22"/>
              </w:rPr>
              <w:t xml:space="preserve">研究员级高级会计师 </w:t>
            </w:r>
          </w:p>
        </w:tc>
        <w:tc>
          <w:tcPr>
            <w:tcW w:w="2553"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jc w:val="left"/>
              <w:textAlignment w:val="center"/>
              <w:rPr>
                <w:rFonts w:hint="eastAsia" w:ascii="宋体" w:hAnsi="宋体" w:eastAsia="宋体" w:cs="宋体"/>
                <w:color w:val="auto"/>
                <w:sz w:val="22"/>
                <w:szCs w:val="22"/>
                <w:lang w:bidi="ar"/>
              </w:rPr>
            </w:pPr>
            <w:r>
              <w:rPr>
                <w:rFonts w:hint="eastAsia" w:ascii="宋体" w:hAnsi="宋体" w:eastAsia="宋体" w:cs="宋体"/>
                <w:color w:val="auto"/>
                <w:sz w:val="22"/>
                <w:szCs w:val="22"/>
                <w:lang w:bidi="ar"/>
              </w:rPr>
              <w:t>对项目指标、实施方案和绩效评价报告进行评审。</w:t>
            </w:r>
          </w:p>
        </w:tc>
      </w:tr>
    </w:tbl>
    <w:p>
      <w:pPr>
        <w:spacing w:line="360" w:lineRule="auto"/>
        <w:ind w:firstLine="562" w:firstLineChars="200"/>
        <w:outlineLvl w:val="1"/>
        <w:rPr>
          <w:rFonts w:hint="eastAsia" w:asciiTheme="minorEastAsia" w:hAnsiTheme="minorEastAsia" w:eastAsiaTheme="minorEastAsia" w:cstheme="minorEastAsia"/>
          <w:b/>
          <w:bCs/>
          <w:color w:val="auto"/>
          <w:sz w:val="28"/>
          <w:szCs w:val="28"/>
        </w:rPr>
      </w:pPr>
      <w:bookmarkStart w:id="50" w:name="_Toc10354"/>
      <w:r>
        <w:rPr>
          <w:rFonts w:hint="eastAsia" w:asciiTheme="minorEastAsia" w:hAnsiTheme="minorEastAsia" w:eastAsiaTheme="minorEastAsia" w:cstheme="minorEastAsia"/>
          <w:b/>
          <w:bCs/>
          <w:color w:val="auto"/>
          <w:sz w:val="28"/>
          <w:szCs w:val="28"/>
        </w:rPr>
        <w:t>（五）绩效评价工作过程</w:t>
      </w:r>
      <w:bookmarkEnd w:id="49"/>
      <w:bookmarkEnd w:id="50"/>
    </w:p>
    <w:p>
      <w:pPr>
        <w:spacing w:line="360" w:lineRule="auto"/>
        <w:ind w:firstLine="560" w:firstLineChars="200"/>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本次绩效评价主要包括以下几个阶段：前期准备、组织实施、分析评价、撰写与提交绩效评价报告、归集档案。</w:t>
      </w:r>
    </w:p>
    <w:p>
      <w:pPr>
        <w:spacing w:line="360" w:lineRule="auto"/>
        <w:ind w:firstLine="560" w:firstLineChars="200"/>
        <w:jc w:val="both"/>
        <w:rPr>
          <w:rFonts w:hint="eastAsia" w:asciiTheme="minorEastAsia" w:hAnsiTheme="minorEastAsia" w:eastAsiaTheme="minorEastAsia" w:cstheme="minorEastAsia"/>
          <w:color w:val="auto"/>
          <w:sz w:val="28"/>
          <w:szCs w:val="28"/>
        </w:rPr>
      </w:pPr>
      <w:bookmarkStart w:id="51" w:name="_Toc20069"/>
      <w:bookmarkStart w:id="52" w:name="_Toc17594"/>
      <w:r>
        <w:rPr>
          <w:rFonts w:hint="eastAsia" w:asciiTheme="minorEastAsia" w:hAnsiTheme="minorEastAsia" w:eastAsiaTheme="minorEastAsia" w:cstheme="minorEastAsia"/>
          <w:color w:val="auto"/>
          <w:sz w:val="28"/>
          <w:szCs w:val="28"/>
          <w:lang w:val="en-US" w:eastAsia="zh-CN"/>
        </w:rPr>
        <w:t>2022年12月18日，第一次项目对接后，工作组积极与双鸭山市水务局联系，了解项目概况，包括项目的内容、管理制度、资金流程等，12月20日对双鸭山市水务局进行了走访调研，包括访谈负责人、数据材料收集等，于12月中下旬完成了绩效评价方案，明确了绩效评价目的、方法、思路、指标体系、评价标准、社会调查方案等。12月以来工作组组严格按照工作方案，经历了数据采集、重点复核、问卷调查、社会访谈、数据分析和报告撰写环节，顺利完成了绩效评价工作。</w:t>
      </w:r>
    </w:p>
    <w:p>
      <w:pPr>
        <w:spacing w:line="360" w:lineRule="auto"/>
        <w:ind w:firstLine="560" w:firstLineChars="200"/>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评价工作组通过对项目进一步调研了解后，认为专项资金的拨付与使用情况及实际完成情况、项目状态情况及预期目标的完成情况是构成本项目的实施过程及本次绩效评价需核实的重要数据。结合本项目特点，项目自评与第三方评价均覆盖项目全范围。评审过程中主要采取了以下方式保证项目的评审质量。</w:t>
      </w:r>
    </w:p>
    <w:p>
      <w:pPr>
        <w:spacing w:line="360" w:lineRule="auto"/>
        <w:ind w:firstLine="560" w:firstLineChars="200"/>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引导项目单位认真做好自评工作</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工作组认为项目自评工作是本次绩效评价工作的重要组成部分。采取以下几点确保自评工作的质量。</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（1）引导项目实施单位及主管部门高度重视此次绩效评价工作，如实、及时提供自评报告及各项资料。</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（2）制作自评报告、申报方案完成情况表、评分指标得分标准表和具体量化的资料清单，便于相关部门具体实际操作。</w:t>
      </w:r>
    </w:p>
    <w:p>
      <w:pPr>
        <w:pStyle w:val="5"/>
        <w:rPr>
          <w:rFonts w:hint="default"/>
          <w:color w:val="auto"/>
          <w:lang w:val="en-US"/>
        </w:rPr>
      </w:pPr>
      <w:r>
        <w:rPr>
          <w:rFonts w:hint="eastAsia" w:asciiTheme="minorEastAsia" w:hAnsiTheme="minorEastAsia" w:eastAsiaTheme="minorEastAsia" w:cstheme="minorEastAsia"/>
          <w:color w:val="auto"/>
          <w:sz w:val="28"/>
          <w:szCs w:val="28"/>
          <w:lang w:val="en-US" w:eastAsia="zh-CN"/>
        </w:rPr>
        <w:t>1、前期准备</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基础数据釆集及方案</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202</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年</w:t>
      </w:r>
      <w:r>
        <w:rPr>
          <w:rFonts w:hint="eastAsia" w:asciiTheme="minorEastAsia" w:hAnsiTheme="minorEastAsia" w:eastAsiaTheme="minorEastAsia" w:cstheme="minorEastAsia"/>
          <w:color w:val="auto"/>
          <w:sz w:val="28"/>
          <w:szCs w:val="28"/>
          <w:lang w:val="en-US" w:eastAsia="zh-CN"/>
        </w:rPr>
        <w:t>12</w:t>
      </w:r>
      <w:r>
        <w:rPr>
          <w:rFonts w:hint="eastAsia" w:asciiTheme="minorEastAsia" w:hAnsiTheme="minorEastAsia" w:eastAsiaTheme="minorEastAsia" w:cstheme="minorEastAsia"/>
          <w:color w:val="auto"/>
          <w:sz w:val="28"/>
          <w:szCs w:val="28"/>
        </w:rPr>
        <w:t>月</w:t>
      </w:r>
      <w:r>
        <w:rPr>
          <w:rFonts w:hint="eastAsia" w:asciiTheme="minorEastAsia" w:hAnsiTheme="minorEastAsia" w:eastAsiaTheme="minorEastAsia" w:cstheme="minorEastAsia"/>
          <w:color w:val="auto"/>
          <w:sz w:val="28"/>
          <w:szCs w:val="28"/>
          <w:lang w:val="en-US" w:eastAsia="zh-CN"/>
        </w:rPr>
        <w:t>18</w:t>
      </w:r>
      <w:r>
        <w:rPr>
          <w:rFonts w:hint="eastAsia" w:asciiTheme="minorEastAsia" w:hAnsiTheme="minorEastAsia" w:eastAsiaTheme="minorEastAsia" w:cstheme="minorEastAsia"/>
          <w:color w:val="auto"/>
          <w:sz w:val="28"/>
          <w:szCs w:val="28"/>
        </w:rPr>
        <w:t>日一</w:t>
      </w:r>
      <w:r>
        <w:rPr>
          <w:rFonts w:hint="eastAsia" w:asciiTheme="minorEastAsia" w:hAnsiTheme="minorEastAsia" w:eastAsiaTheme="minorEastAsia" w:cstheme="minorEastAsia"/>
          <w:color w:val="auto"/>
          <w:sz w:val="28"/>
          <w:szCs w:val="28"/>
          <w:lang w:val="en-US" w:eastAsia="zh-CN"/>
        </w:rPr>
        <w:t>12</w:t>
      </w:r>
      <w:r>
        <w:rPr>
          <w:rFonts w:hint="eastAsia" w:asciiTheme="minorEastAsia" w:hAnsiTheme="minorEastAsia" w:eastAsiaTheme="minorEastAsia" w:cstheme="minorEastAsia"/>
          <w:color w:val="auto"/>
          <w:sz w:val="28"/>
          <w:szCs w:val="28"/>
        </w:rPr>
        <w:t>月</w:t>
      </w:r>
      <w:r>
        <w:rPr>
          <w:rFonts w:hint="eastAsia" w:asciiTheme="minorEastAsia" w:hAnsiTheme="minorEastAsia" w:eastAsiaTheme="minorEastAsia" w:cstheme="minorEastAsia"/>
          <w:color w:val="auto"/>
          <w:sz w:val="28"/>
          <w:szCs w:val="28"/>
          <w:lang w:val="en-US" w:eastAsia="zh-CN"/>
        </w:rPr>
        <w:t>25</w:t>
      </w:r>
      <w:r>
        <w:rPr>
          <w:rFonts w:hint="eastAsia" w:asciiTheme="minorEastAsia" w:hAnsiTheme="minorEastAsia" w:eastAsiaTheme="minorEastAsia" w:cstheme="minorEastAsia"/>
          <w:color w:val="auto"/>
          <w:sz w:val="28"/>
          <w:szCs w:val="28"/>
        </w:rPr>
        <w:t>日，开展前期调研</w:t>
      </w:r>
      <w:r>
        <w:rPr>
          <w:rFonts w:hint="eastAsia" w:asciiTheme="minorEastAsia" w:hAnsiTheme="minorEastAsia" w:eastAsiaTheme="minorEastAsia" w:cstheme="minorEastAsia"/>
          <w:color w:val="auto"/>
          <w:sz w:val="28"/>
          <w:szCs w:val="28"/>
          <w:lang w:eastAsia="zh-CN"/>
        </w:rPr>
        <w:t>工</w:t>
      </w:r>
      <w:r>
        <w:rPr>
          <w:rFonts w:hint="eastAsia" w:asciiTheme="minorEastAsia" w:hAnsiTheme="minorEastAsia" w:eastAsiaTheme="minorEastAsia" w:cstheme="minorEastAsia"/>
          <w:color w:val="auto"/>
          <w:sz w:val="28"/>
          <w:szCs w:val="28"/>
        </w:rPr>
        <w:t>作，采集了政策文件、操作办法、管理制度、项目基本信息等，确定评价的方向、评价的重点、相关指标设计等内容，评价组在前期资料和数据梳理的基础上，完成了方案的撰写。</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经过专家组的方案评审后，评价组根据专家评审意见对方案初稿进行了修改，形成最终评价方案。</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在完成评价方案后，评价组根据方案内容开展报告调研阶段, 补充收集一些项目基础数据材料。</w:t>
      </w:r>
    </w:p>
    <w:p>
      <w:pPr>
        <w:spacing w:line="360" w:lineRule="auto"/>
        <w:ind w:firstLine="560" w:firstLineChars="200"/>
        <w:rPr>
          <w:rFonts w:hint="eastAsia" w:asciiTheme="minorEastAsia" w:hAnsiTheme="minorEastAsia" w:eastAsiaTheme="minorEastAsia" w:cstheme="minorEastAsia"/>
          <w:color w:val="auto"/>
          <w:sz w:val="28"/>
          <w:szCs w:val="28"/>
          <w:lang w:val="en-US" w:eastAsia="zh-CN"/>
        </w:rPr>
      </w:pPr>
      <w:bookmarkStart w:id="53" w:name="bookmark68"/>
      <w:bookmarkEnd w:id="53"/>
      <w:r>
        <w:rPr>
          <w:rFonts w:hint="eastAsia" w:asciiTheme="minorEastAsia" w:hAnsiTheme="minorEastAsia" w:eastAsiaTheme="minorEastAsia" w:cstheme="minorEastAsia"/>
          <w:color w:val="auto"/>
          <w:sz w:val="28"/>
          <w:szCs w:val="28"/>
          <w:lang w:val="en-US" w:eastAsia="zh-CN"/>
        </w:rPr>
        <w:t>2、问卷及抽样调查</w:t>
      </w:r>
    </w:p>
    <w:p>
      <w:pPr>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2022年12月18日起对项目的受益群体进行了问卷调查并统计分析。工作组选择了网上问卷调查方式，对项目收益群体-双鸭山市市民、水务局工作人员，共回收了25份有效问卷。绩效评价组根据问卷调查数据分析，撰写了社会满意度分析。 双鸭山市水务局2021年部门整体情况整体满意度为99.2%。</w:t>
      </w:r>
    </w:p>
    <w:p>
      <w:pPr>
        <w:spacing w:line="360" w:lineRule="auto"/>
        <w:ind w:firstLine="560" w:firstLineChars="200"/>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3、现场评价</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202</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年</w:t>
      </w:r>
      <w:r>
        <w:rPr>
          <w:rFonts w:hint="eastAsia" w:asciiTheme="minorEastAsia" w:hAnsiTheme="minorEastAsia" w:eastAsiaTheme="minorEastAsia" w:cstheme="minorEastAsia"/>
          <w:color w:val="auto"/>
          <w:sz w:val="28"/>
          <w:szCs w:val="28"/>
          <w:lang w:val="en-US" w:eastAsia="zh-CN"/>
        </w:rPr>
        <w:t>12</w:t>
      </w:r>
      <w:r>
        <w:rPr>
          <w:rFonts w:hint="eastAsia" w:asciiTheme="minorEastAsia" w:hAnsiTheme="minorEastAsia" w:eastAsiaTheme="minorEastAsia" w:cstheme="minorEastAsia"/>
          <w:color w:val="auto"/>
          <w:sz w:val="28"/>
          <w:szCs w:val="28"/>
        </w:rPr>
        <w:t>月</w:t>
      </w:r>
      <w:r>
        <w:rPr>
          <w:rFonts w:hint="eastAsia" w:asciiTheme="minorEastAsia" w:hAnsiTheme="minorEastAsia" w:eastAsiaTheme="minorEastAsia" w:cstheme="minorEastAsia"/>
          <w:color w:val="auto"/>
          <w:sz w:val="28"/>
          <w:szCs w:val="28"/>
          <w:lang w:val="en-US" w:eastAsia="zh-CN"/>
        </w:rPr>
        <w:t>26日，工作组对双鸭山市水务局2021年部门评价</w:t>
      </w:r>
      <w:r>
        <w:rPr>
          <w:rFonts w:hint="eastAsia" w:asciiTheme="minorEastAsia" w:hAnsiTheme="minorEastAsia" w:eastAsiaTheme="minorEastAsia" w:cstheme="minorEastAsia"/>
          <w:color w:val="auto"/>
          <w:sz w:val="28"/>
          <w:szCs w:val="28"/>
        </w:rPr>
        <w:t>进行了资金和项目实施</w:t>
      </w:r>
      <w:r>
        <w:rPr>
          <w:rFonts w:hint="eastAsia" w:asciiTheme="minorEastAsia" w:hAnsiTheme="minorEastAsia" w:eastAsiaTheme="minorEastAsia" w:cstheme="minorEastAsia"/>
          <w:color w:val="auto"/>
          <w:sz w:val="28"/>
          <w:szCs w:val="28"/>
          <w:lang w:val="en-US" w:eastAsia="zh-CN"/>
        </w:rPr>
        <w:t>情况</w:t>
      </w:r>
      <w:r>
        <w:rPr>
          <w:rFonts w:hint="eastAsia" w:asciiTheme="minorEastAsia" w:hAnsiTheme="minorEastAsia" w:eastAsiaTheme="minorEastAsia" w:cstheme="minorEastAsia"/>
          <w:color w:val="auto"/>
          <w:sz w:val="28"/>
          <w:szCs w:val="28"/>
        </w:rPr>
        <w:t>核查。同时，进一步对</w:t>
      </w:r>
      <w:r>
        <w:rPr>
          <w:rFonts w:hint="eastAsia" w:asciiTheme="minorEastAsia" w:hAnsiTheme="minorEastAsia" w:eastAsiaTheme="minorEastAsia" w:cstheme="minorEastAsia"/>
          <w:color w:val="auto"/>
          <w:sz w:val="28"/>
          <w:szCs w:val="28"/>
          <w:lang w:eastAsia="zh-CN"/>
        </w:rPr>
        <w:t>双鸭山市水务局</w:t>
      </w:r>
      <w:r>
        <w:rPr>
          <w:rFonts w:hint="eastAsia" w:asciiTheme="minorEastAsia" w:hAnsiTheme="minorEastAsia" w:eastAsiaTheme="minorEastAsia" w:cstheme="minorEastAsia"/>
          <w:color w:val="auto"/>
          <w:sz w:val="28"/>
          <w:szCs w:val="28"/>
        </w:rPr>
        <w:t>各相关</w:t>
      </w:r>
      <w:r>
        <w:rPr>
          <w:rFonts w:hint="eastAsia" w:asciiTheme="minorEastAsia" w:hAnsiTheme="minorEastAsia" w:eastAsiaTheme="minorEastAsia" w:cstheme="minorEastAsia"/>
          <w:color w:val="auto"/>
          <w:sz w:val="28"/>
          <w:szCs w:val="28"/>
          <w:lang w:val="en-US" w:eastAsia="zh-CN"/>
        </w:rPr>
        <w:t>业务</w:t>
      </w:r>
      <w:r>
        <w:rPr>
          <w:rFonts w:hint="eastAsia" w:asciiTheme="minorEastAsia" w:hAnsiTheme="minorEastAsia" w:eastAsiaTheme="minorEastAsia" w:cstheme="minorEastAsia"/>
          <w:color w:val="auto"/>
          <w:sz w:val="28"/>
          <w:szCs w:val="28"/>
        </w:rPr>
        <w:t>负责人、进行了访谈</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并</w:t>
      </w:r>
      <w:r>
        <w:rPr>
          <w:rFonts w:hint="eastAsia" w:asciiTheme="minorEastAsia" w:hAnsiTheme="minorEastAsia" w:eastAsiaTheme="minorEastAsia" w:cstheme="minorEastAsia"/>
          <w:color w:val="auto"/>
          <w:sz w:val="28"/>
          <w:szCs w:val="28"/>
          <w:lang w:val="en-US" w:eastAsia="zh-CN"/>
        </w:rPr>
        <w:t>根据项目属性通过工作群、行业专家群、线上随机</w:t>
      </w:r>
      <w:r>
        <w:rPr>
          <w:rFonts w:hint="eastAsia" w:asciiTheme="minorEastAsia" w:hAnsiTheme="minorEastAsia" w:eastAsiaTheme="minorEastAsia" w:cstheme="minorEastAsia"/>
          <w:color w:val="auto"/>
          <w:sz w:val="28"/>
          <w:szCs w:val="28"/>
        </w:rPr>
        <w:t>发放</w:t>
      </w:r>
      <w:r>
        <w:rPr>
          <w:rFonts w:hint="eastAsia" w:asciiTheme="minorEastAsia" w:hAnsiTheme="minorEastAsia" w:eastAsiaTheme="minorEastAsia" w:cstheme="minorEastAsia"/>
          <w:color w:val="auto"/>
          <w:sz w:val="28"/>
          <w:szCs w:val="28"/>
          <w:lang w:val="en-US" w:eastAsia="zh-CN"/>
        </w:rPr>
        <w:t>了</w:t>
      </w:r>
      <w:r>
        <w:rPr>
          <w:rFonts w:hint="eastAsia" w:asciiTheme="minorEastAsia" w:hAnsiTheme="minorEastAsia" w:eastAsiaTheme="minorEastAsia" w:cstheme="minorEastAsia"/>
          <w:color w:val="auto"/>
          <w:sz w:val="28"/>
          <w:szCs w:val="28"/>
        </w:rPr>
        <w:t>满意度</w:t>
      </w:r>
      <w:r>
        <w:rPr>
          <w:rFonts w:hint="eastAsia" w:asciiTheme="minorEastAsia" w:hAnsiTheme="minorEastAsia" w:eastAsiaTheme="minorEastAsia" w:cstheme="minorEastAsia"/>
          <w:color w:val="auto"/>
          <w:sz w:val="28"/>
          <w:szCs w:val="28"/>
          <w:lang w:val="en-US" w:eastAsia="zh-CN"/>
        </w:rPr>
        <w:t>调查</w:t>
      </w:r>
      <w:r>
        <w:rPr>
          <w:rFonts w:hint="eastAsia" w:asciiTheme="minorEastAsia" w:hAnsiTheme="minorEastAsia" w:eastAsiaTheme="minorEastAsia" w:cstheme="minorEastAsia"/>
          <w:color w:val="auto"/>
          <w:sz w:val="28"/>
          <w:szCs w:val="28"/>
        </w:rPr>
        <w:t>问卷。</w:t>
      </w:r>
    </w:p>
    <w:p>
      <w:pPr>
        <w:spacing w:line="360" w:lineRule="auto"/>
        <w:ind w:firstLine="560" w:firstLineChars="200"/>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4、非现场评价</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项目决策分析、项目管理分析、项目绩效分析</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2022年12月18日至12月25日，</w:t>
      </w:r>
      <w:r>
        <w:rPr>
          <w:rFonts w:hint="eastAsia" w:asciiTheme="minorEastAsia" w:hAnsiTheme="minorEastAsia" w:eastAsiaTheme="minorEastAsia" w:cstheme="minorEastAsia"/>
          <w:color w:val="auto"/>
          <w:sz w:val="28"/>
          <w:szCs w:val="28"/>
        </w:rPr>
        <w:t>对项目立项、目标设定等决策情况，项目管理制度建设与执行等管理情况以及项目资金使用、成果统计等绩效情况进行分析，对该项目进行定性、定量的评价、分析该项目的实施效果。</w:t>
      </w:r>
    </w:p>
    <w:p>
      <w:pPr>
        <w:spacing w:line="360" w:lineRule="auto"/>
        <w:ind w:firstLine="560" w:firstLineChars="200"/>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5、综合分析</w:t>
      </w:r>
    </w:p>
    <w:p>
      <w:pPr>
        <w:spacing w:line="360" w:lineRule="auto"/>
        <w:ind w:firstLine="560" w:firstLineChars="200"/>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计算绩效评价指标，根据本次评价指标体系与评分标准</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查验情况，形成了评分范围内所有评价底稿，通过各项数据的汇总分析，结合调查问卷情况，对各项绩效指标进行评价打分</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形成评价结论。</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对绩效评价过程中发现的问题进行</w:t>
      </w:r>
      <w:r>
        <w:rPr>
          <w:rFonts w:hint="eastAsia" w:asciiTheme="minorEastAsia" w:hAnsiTheme="minorEastAsia" w:eastAsiaTheme="minorEastAsia" w:cstheme="minorEastAsia"/>
          <w:color w:val="auto"/>
          <w:sz w:val="28"/>
          <w:szCs w:val="28"/>
          <w:lang w:eastAsia="zh-CN"/>
        </w:rPr>
        <w:t>汇</w:t>
      </w:r>
      <w:r>
        <w:rPr>
          <w:rFonts w:hint="eastAsia" w:asciiTheme="minorEastAsia" w:hAnsiTheme="minorEastAsia" w:eastAsiaTheme="minorEastAsia" w:cstheme="minorEastAsia"/>
          <w:color w:val="auto"/>
          <w:sz w:val="28"/>
          <w:szCs w:val="28"/>
        </w:rPr>
        <w:t>总，并提出相关建议。对有疑问的事项与相关部门进行了沟通了解，对缺失的资料进行补充。</w:t>
      </w:r>
    </w:p>
    <w:p>
      <w:pPr>
        <w:numPr>
          <w:ilvl w:val="0"/>
          <w:numId w:val="0"/>
        </w:numPr>
        <w:spacing w:line="360" w:lineRule="auto"/>
        <w:ind w:firstLine="560" w:firstLineChars="200"/>
        <w:rPr>
          <w:rFonts w:hint="default" w:asciiTheme="minorEastAsia" w:hAnsiTheme="minorEastAsia" w:eastAsiaTheme="minorEastAsia" w:cstheme="minorEastAsia"/>
          <w:color w:val="auto"/>
          <w:sz w:val="28"/>
          <w:szCs w:val="28"/>
          <w:lang w:val="en-US"/>
        </w:rPr>
      </w:pPr>
      <w:bookmarkStart w:id="54" w:name="bookmark69"/>
      <w:bookmarkEnd w:id="54"/>
      <w:r>
        <w:rPr>
          <w:rFonts w:hint="eastAsia" w:asciiTheme="minorEastAsia" w:hAnsiTheme="minorEastAsia" w:eastAsiaTheme="minorEastAsia" w:cstheme="minorEastAsia"/>
          <w:color w:val="auto"/>
          <w:sz w:val="28"/>
          <w:szCs w:val="28"/>
          <w:lang w:val="en-US" w:eastAsia="zh-CN"/>
        </w:rPr>
        <w:t>6、评价报告撰写</w:t>
      </w:r>
    </w:p>
    <w:p>
      <w:pPr>
        <w:numPr>
          <w:ilvl w:val="0"/>
          <w:numId w:val="0"/>
        </w:num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撰写项目的绩效评价报告初稿，</w:t>
      </w:r>
      <w:r>
        <w:rPr>
          <w:rFonts w:hint="eastAsia" w:asciiTheme="minorEastAsia" w:hAnsiTheme="minorEastAsia" w:eastAsiaTheme="minorEastAsia" w:cstheme="minorEastAsia"/>
          <w:color w:val="auto"/>
          <w:sz w:val="28"/>
          <w:szCs w:val="28"/>
          <w:lang w:val="en-US" w:eastAsia="zh-CN"/>
        </w:rPr>
        <w:t>送市财政局</w:t>
      </w:r>
      <w:r>
        <w:rPr>
          <w:rFonts w:hint="eastAsia" w:asciiTheme="minorEastAsia" w:hAnsiTheme="minorEastAsia" w:eastAsiaTheme="minorEastAsia" w:cstheme="minorEastAsia"/>
          <w:color w:val="auto"/>
          <w:sz w:val="28"/>
          <w:szCs w:val="28"/>
        </w:rPr>
        <w:t>和项目单位，根据</w:t>
      </w:r>
      <w:r>
        <w:rPr>
          <w:rFonts w:hint="eastAsia" w:asciiTheme="minorEastAsia" w:hAnsiTheme="minorEastAsia" w:eastAsiaTheme="minorEastAsia" w:cstheme="minorEastAsia"/>
          <w:color w:val="auto"/>
          <w:sz w:val="28"/>
          <w:szCs w:val="28"/>
          <w:lang w:val="en-US" w:eastAsia="zh-CN"/>
        </w:rPr>
        <w:t>市财政局</w:t>
      </w:r>
      <w:r>
        <w:rPr>
          <w:rFonts w:hint="eastAsia" w:asciiTheme="minorEastAsia" w:hAnsiTheme="minorEastAsia" w:eastAsiaTheme="minorEastAsia" w:cstheme="minorEastAsia"/>
          <w:color w:val="auto"/>
          <w:sz w:val="28"/>
          <w:szCs w:val="28"/>
        </w:rPr>
        <w:t>和项目单位的反馈意见对报告进行再次修改后，向</w:t>
      </w:r>
      <w:r>
        <w:rPr>
          <w:rFonts w:hint="eastAsia" w:asciiTheme="minorEastAsia" w:hAnsiTheme="minorEastAsia" w:eastAsiaTheme="minorEastAsia" w:cstheme="minorEastAsia"/>
          <w:color w:val="auto"/>
          <w:sz w:val="28"/>
          <w:szCs w:val="28"/>
          <w:lang w:val="en-US" w:eastAsia="zh-CN"/>
        </w:rPr>
        <w:t>双鸭山市水务局提交</w:t>
      </w:r>
      <w:r>
        <w:rPr>
          <w:rFonts w:hint="eastAsia" w:asciiTheme="minorEastAsia" w:hAnsiTheme="minorEastAsia" w:eastAsiaTheme="minorEastAsia" w:cstheme="minorEastAsia"/>
          <w:color w:val="auto"/>
          <w:sz w:val="28"/>
          <w:szCs w:val="28"/>
        </w:rPr>
        <w:t>正式绩效评价报告。</w:t>
      </w:r>
    </w:p>
    <w:p>
      <w:pPr>
        <w:widowControl w:val="0"/>
        <w:spacing w:line="360" w:lineRule="auto"/>
        <w:ind w:firstLine="562" w:firstLineChars="200"/>
        <w:jc w:val="left"/>
        <w:outlineLvl w:val="0"/>
        <w:rPr>
          <w:rFonts w:hint="eastAsia" w:asciiTheme="minorEastAsia" w:hAnsiTheme="minorEastAsia" w:eastAsiaTheme="minorEastAsia" w:cstheme="minorEastAsia"/>
          <w:b/>
          <w:bCs/>
          <w:color w:val="auto"/>
          <w:sz w:val="28"/>
          <w:szCs w:val="28"/>
        </w:rPr>
      </w:pPr>
      <w:bookmarkStart w:id="55" w:name="_Toc13802"/>
      <w:r>
        <w:rPr>
          <w:rFonts w:hint="eastAsia" w:asciiTheme="minorEastAsia" w:hAnsiTheme="minorEastAsia" w:eastAsiaTheme="minorEastAsia" w:cstheme="minorEastAsia"/>
          <w:b/>
          <w:bCs/>
          <w:color w:val="auto"/>
          <w:sz w:val="28"/>
          <w:szCs w:val="28"/>
        </w:rPr>
        <w:t>三、评价结论及分析</w:t>
      </w:r>
      <w:bookmarkEnd w:id="51"/>
      <w:bookmarkEnd w:id="52"/>
      <w:bookmarkEnd w:id="55"/>
    </w:p>
    <w:p>
      <w:pPr>
        <w:spacing w:line="360" w:lineRule="auto"/>
        <w:ind w:firstLine="562" w:firstLineChars="200"/>
        <w:outlineLvl w:val="1"/>
        <w:rPr>
          <w:rFonts w:hint="eastAsia" w:asciiTheme="minorEastAsia" w:hAnsiTheme="minorEastAsia" w:eastAsiaTheme="minorEastAsia" w:cstheme="minorEastAsia"/>
          <w:b/>
          <w:bCs/>
          <w:color w:val="auto"/>
          <w:sz w:val="28"/>
          <w:szCs w:val="28"/>
        </w:rPr>
      </w:pPr>
      <w:bookmarkStart w:id="56" w:name="_Toc26666"/>
      <w:bookmarkStart w:id="57" w:name="_Toc19781"/>
      <w:r>
        <w:rPr>
          <w:rFonts w:hint="eastAsia" w:asciiTheme="minorEastAsia" w:hAnsiTheme="minorEastAsia" w:eastAsiaTheme="minorEastAsia" w:cstheme="minorEastAsia"/>
          <w:b/>
          <w:bCs/>
          <w:color w:val="auto"/>
          <w:sz w:val="28"/>
          <w:szCs w:val="28"/>
          <w:lang w:eastAsia="zh-CN"/>
        </w:rPr>
        <w:t>（一）</w:t>
      </w:r>
      <w:bookmarkEnd w:id="56"/>
      <w:r>
        <w:rPr>
          <w:rFonts w:hint="eastAsia" w:asciiTheme="minorEastAsia" w:hAnsiTheme="minorEastAsia" w:eastAsiaTheme="minorEastAsia" w:cstheme="minorEastAsia"/>
          <w:b/>
          <w:bCs/>
          <w:color w:val="auto"/>
          <w:sz w:val="28"/>
          <w:szCs w:val="28"/>
        </w:rPr>
        <w:t>综合评价结论（附相关评分表）</w:t>
      </w:r>
      <w:bookmarkEnd w:id="57"/>
    </w:p>
    <w:p>
      <w:pPr>
        <w:pStyle w:val="2"/>
        <w:spacing w:line="360" w:lineRule="auto"/>
        <w:ind w:firstLine="562" w:firstLineChars="200"/>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1、主要绩效</w:t>
      </w:r>
    </w:p>
    <w:p>
      <w:pPr>
        <w:numPr>
          <w:ilvl w:val="0"/>
          <w:numId w:val="0"/>
        </w:numPr>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双鸭山市水务局2021年度部门整体预算完成以下目标：</w:t>
      </w:r>
    </w:p>
    <w:p>
      <w:pPr>
        <w:numPr>
          <w:ilvl w:val="0"/>
          <w:numId w:val="0"/>
        </w:numPr>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（1）本年度市水务局及下属事业单位人员的基本工资、津贴补贴等人员经费正常发放。</w:t>
      </w:r>
    </w:p>
    <w:p>
      <w:pPr>
        <w:numPr>
          <w:ilvl w:val="0"/>
          <w:numId w:val="0"/>
        </w:numPr>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（2）本年度各部门运转正常。</w:t>
      </w:r>
    </w:p>
    <w:p>
      <w:pPr>
        <w:numPr>
          <w:ilvl w:val="0"/>
          <w:numId w:val="0"/>
        </w:numPr>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（3）本年度各项水利设施工程运行良好。</w:t>
      </w:r>
    </w:p>
    <w:p>
      <w:pPr>
        <w:numPr>
          <w:ilvl w:val="0"/>
          <w:numId w:val="0"/>
        </w:numPr>
        <w:spacing w:line="360" w:lineRule="auto"/>
        <w:ind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（4）本年度水资源使用合法合规合理。</w:t>
      </w:r>
    </w:p>
    <w:p>
      <w:pPr>
        <w:spacing w:line="360" w:lineRule="auto"/>
        <w:ind w:firstLine="562" w:firstLineChars="200"/>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2、评价分析</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eastAsia="zh-CN"/>
        </w:rPr>
        <w:t>综合以上工作</w:t>
      </w:r>
      <w:r>
        <w:rPr>
          <w:rFonts w:hint="eastAsia" w:asciiTheme="minorEastAsia" w:hAnsiTheme="minorEastAsia" w:eastAsiaTheme="minorEastAsia" w:cstheme="minorEastAsia"/>
          <w:color w:val="auto"/>
          <w:sz w:val="28"/>
          <w:szCs w:val="28"/>
          <w:highlight w:val="none"/>
        </w:rPr>
        <w:t>评价结果表明，</w:t>
      </w:r>
      <w:r>
        <w:rPr>
          <w:rFonts w:hint="eastAsia" w:asciiTheme="minorEastAsia" w:hAnsiTheme="minorEastAsia" w:eastAsiaTheme="minorEastAsia" w:cstheme="minorEastAsia"/>
          <w:color w:val="auto"/>
          <w:sz w:val="28"/>
          <w:szCs w:val="28"/>
          <w:highlight w:val="none"/>
          <w:lang w:eastAsia="zh-CN"/>
        </w:rPr>
        <w:t xml:space="preserve"> 双鸭山市水务局</w:t>
      </w:r>
      <w:r>
        <w:rPr>
          <w:rFonts w:hint="eastAsia" w:asciiTheme="minorEastAsia" w:hAnsiTheme="minorEastAsia" w:eastAsiaTheme="minorEastAsia" w:cstheme="minorEastAsia"/>
          <w:color w:val="auto"/>
          <w:sz w:val="28"/>
          <w:szCs w:val="28"/>
          <w:highlight w:val="none"/>
        </w:rPr>
        <w:t>基本达到了预期效果，项目取得的主要绩效集中反映在以下几方面：</w:t>
      </w:r>
    </w:p>
    <w:p>
      <w:pPr>
        <w:spacing w:line="360" w:lineRule="auto"/>
        <w:ind w:firstLine="562" w:firstLineChars="200"/>
        <w:rPr>
          <w:rFonts w:hint="eastAsia" w:asciiTheme="minorEastAsia" w:hAnsiTheme="minorEastAsia" w:eastAsiaTheme="minorEastAsia" w:cstheme="minorEastAsia"/>
          <w:b/>
          <w:bCs/>
          <w:color w:val="auto"/>
          <w:sz w:val="28"/>
          <w:szCs w:val="28"/>
          <w:highlight w:val="none"/>
          <w:lang w:eastAsia="zh-CN"/>
        </w:rPr>
      </w:pPr>
      <w:r>
        <w:rPr>
          <w:rFonts w:hint="eastAsia" w:asciiTheme="minorEastAsia" w:hAnsiTheme="minorEastAsia" w:eastAsiaTheme="minorEastAsia" w:cstheme="minorEastAsia"/>
          <w:b/>
          <w:bCs/>
          <w:color w:val="auto"/>
          <w:sz w:val="28"/>
          <w:szCs w:val="28"/>
          <w:highlight w:val="none"/>
          <w:lang w:val="en-US" w:eastAsia="zh-CN"/>
        </w:rPr>
        <w:t>产</w:t>
      </w:r>
      <w:r>
        <w:rPr>
          <w:rFonts w:hint="eastAsia" w:asciiTheme="minorEastAsia" w:hAnsiTheme="minorEastAsia" w:eastAsiaTheme="minorEastAsia" w:cstheme="minorEastAsia"/>
          <w:b/>
          <w:bCs/>
          <w:color w:val="auto"/>
          <w:sz w:val="28"/>
          <w:szCs w:val="28"/>
          <w:highlight w:val="none"/>
          <w:lang w:eastAsia="zh-CN"/>
        </w:rPr>
        <w:t>出指标完成情况</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（1）数量指标</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每月发放全部人员工资，各项目均按目标开工，非税收入均已经足额上缴国库。</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（2）质量指标</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本年度足额发放人员工资，完工工程验收合格率为100%，</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已建工程不存在质量问题。</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（3）时效指标</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各项资金支出及时率100%。按时足额发放工资。按时报销办公用品等费用。</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（4）成本指标</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本年总成本未控制在年初预算内，原因是本年度新增项目支出及人员工资增加，特别是安邦河流域水环境综合整治工程的百大项目支出较大，导致成本增加。单位成本未控制在年初预算内，原因是人员工资增资等因素使得单位成本大于预算。</w:t>
      </w:r>
    </w:p>
    <w:p>
      <w:pPr>
        <w:spacing w:line="360" w:lineRule="auto"/>
        <w:ind w:firstLine="562" w:firstLineChars="200"/>
        <w:rPr>
          <w:rFonts w:hint="eastAsia" w:asciiTheme="minorEastAsia" w:hAnsiTheme="minorEastAsia" w:eastAsiaTheme="minorEastAsia" w:cstheme="minorEastAsia"/>
          <w:b/>
          <w:bCs/>
          <w:color w:val="auto"/>
          <w:sz w:val="28"/>
          <w:szCs w:val="28"/>
          <w:highlight w:val="none"/>
          <w:lang w:val="en-US" w:eastAsia="zh-CN"/>
        </w:rPr>
      </w:pPr>
      <w:r>
        <w:rPr>
          <w:rFonts w:hint="eastAsia" w:asciiTheme="minorEastAsia" w:hAnsiTheme="minorEastAsia" w:eastAsiaTheme="minorEastAsia" w:cstheme="minorEastAsia"/>
          <w:b/>
          <w:bCs/>
          <w:color w:val="auto"/>
          <w:sz w:val="28"/>
          <w:szCs w:val="28"/>
          <w:highlight w:val="none"/>
          <w:lang w:val="en-US" w:eastAsia="zh-CN"/>
        </w:rPr>
        <w:t>效益指标</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（1）社会效益指标</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本年度各项水利设施正常运行，保障了周边居民及受益群众的效益。</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（2）生态效益指标</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本年度各部门正常运转，保证了节约用水能力的提高。</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（3）可持续影响指标</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本年度市水务局全年正常运转，新增工程运行良好，已安装工程均达到设计使用年限。</w:t>
      </w:r>
    </w:p>
    <w:p>
      <w:pPr>
        <w:spacing w:line="360" w:lineRule="auto"/>
        <w:ind w:firstLine="562" w:firstLineChars="200"/>
        <w:rPr>
          <w:rFonts w:hint="eastAsia" w:asciiTheme="minorEastAsia" w:hAnsiTheme="minorEastAsia" w:eastAsiaTheme="minorEastAsia" w:cstheme="minorEastAsia"/>
          <w:b/>
          <w:bCs/>
          <w:color w:val="auto"/>
          <w:sz w:val="28"/>
          <w:szCs w:val="28"/>
          <w:highlight w:val="none"/>
          <w:lang w:val="en-US" w:eastAsia="zh-CN"/>
        </w:rPr>
      </w:pPr>
      <w:r>
        <w:rPr>
          <w:rFonts w:hint="eastAsia" w:asciiTheme="minorEastAsia" w:hAnsiTheme="minorEastAsia" w:eastAsiaTheme="minorEastAsia" w:cstheme="minorEastAsia"/>
          <w:b/>
          <w:bCs/>
          <w:color w:val="auto"/>
          <w:sz w:val="28"/>
          <w:szCs w:val="28"/>
          <w:highlight w:val="none"/>
          <w:lang w:val="en-US" w:eastAsia="zh-CN"/>
        </w:rPr>
        <w:t>满意度指标</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本年度工程等项目受益群众满意度≥80%，在职单位工作人员满意度≥80%。</w:t>
      </w:r>
    </w:p>
    <w:p>
      <w:pPr>
        <w:spacing w:line="360" w:lineRule="auto"/>
        <w:ind w:firstLine="562" w:firstLineChars="200"/>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3、</w:t>
      </w:r>
      <w:r>
        <w:rPr>
          <w:rFonts w:hint="eastAsia" w:asciiTheme="minorEastAsia" w:hAnsiTheme="minorEastAsia" w:eastAsiaTheme="minorEastAsia" w:cstheme="minorEastAsia"/>
          <w:b/>
          <w:bCs/>
          <w:color w:val="auto"/>
          <w:sz w:val="28"/>
          <w:szCs w:val="28"/>
        </w:rPr>
        <w:t>评价结论</w:t>
      </w:r>
    </w:p>
    <w:p>
      <w:pPr>
        <w:pStyle w:val="18"/>
        <w:widowControl w:val="0"/>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按照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黑龙江省财政厅关于开展2021年度省级项目 (专项)支出部门评价工作的通知</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，根据评价得分，评价结果等级划分为四档：90（含）-100分为优、80（含）-90分为良、60（含）-80分为中、60分以下为差。</w:t>
      </w:r>
    </w:p>
    <w:p>
      <w:pPr>
        <w:pStyle w:val="18"/>
        <w:widowControl w:val="0"/>
        <w:spacing w:line="360" w:lineRule="auto"/>
        <w:jc w:val="center"/>
        <w:outlineLvl w:val="9"/>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评价得分绩效等级表</w:t>
      </w:r>
    </w:p>
    <w:tbl>
      <w:tblPr>
        <w:tblStyle w:val="12"/>
        <w:tblW w:w="8327" w:type="dxa"/>
        <w:tblInd w:w="0" w:type="dxa"/>
        <w:tblLayout w:type="fixed"/>
        <w:tblCellMar>
          <w:top w:w="0" w:type="dxa"/>
          <w:left w:w="0" w:type="dxa"/>
          <w:bottom w:w="0" w:type="dxa"/>
          <w:right w:w="0" w:type="dxa"/>
        </w:tblCellMar>
      </w:tblPr>
      <w:tblGrid>
        <w:gridCol w:w="1215"/>
        <w:gridCol w:w="2068"/>
        <w:gridCol w:w="1914"/>
        <w:gridCol w:w="1914"/>
        <w:gridCol w:w="1216"/>
      </w:tblGrid>
      <w:tr>
        <w:tblPrEx>
          <w:tblCellMar>
            <w:top w:w="0" w:type="dxa"/>
            <w:left w:w="0" w:type="dxa"/>
            <w:bottom w:w="0" w:type="dxa"/>
            <w:right w:w="0" w:type="dxa"/>
          </w:tblCellMar>
        </w:tblPrEx>
        <w:trPr>
          <w:trHeight w:val="649" w:hRule="atLeast"/>
        </w:trPr>
        <w:tc>
          <w:tcPr>
            <w:tcW w:w="1215"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评价得分</w:t>
            </w:r>
          </w:p>
        </w:tc>
        <w:tc>
          <w:tcPr>
            <w:tcW w:w="20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90（含）-100分</w:t>
            </w:r>
          </w:p>
        </w:tc>
        <w:tc>
          <w:tcPr>
            <w:tcW w:w="19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80（含）-90分</w:t>
            </w:r>
          </w:p>
        </w:tc>
        <w:tc>
          <w:tcPr>
            <w:tcW w:w="19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60（含）-80分</w:t>
            </w:r>
          </w:p>
        </w:tc>
        <w:tc>
          <w:tcPr>
            <w:tcW w:w="1216"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60分以下</w:t>
            </w:r>
          </w:p>
        </w:tc>
      </w:tr>
      <w:tr>
        <w:tblPrEx>
          <w:tblCellMar>
            <w:top w:w="0" w:type="dxa"/>
            <w:left w:w="0" w:type="dxa"/>
            <w:bottom w:w="0" w:type="dxa"/>
            <w:right w:w="0" w:type="dxa"/>
          </w:tblCellMar>
        </w:tblPrEx>
        <w:trPr>
          <w:trHeight w:val="649" w:hRule="atLeast"/>
        </w:trPr>
        <w:tc>
          <w:tcPr>
            <w:tcW w:w="1215"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绩效等级</w:t>
            </w:r>
          </w:p>
        </w:tc>
        <w:tc>
          <w:tcPr>
            <w:tcW w:w="20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优</w:t>
            </w:r>
          </w:p>
        </w:tc>
        <w:tc>
          <w:tcPr>
            <w:tcW w:w="19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良</w:t>
            </w:r>
          </w:p>
        </w:tc>
        <w:tc>
          <w:tcPr>
            <w:tcW w:w="19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中</w:t>
            </w:r>
          </w:p>
        </w:tc>
        <w:tc>
          <w:tcPr>
            <w:tcW w:w="1216"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center"/>
          </w:tcPr>
          <w:p>
            <w:pPr>
              <w:spacing w:line="360" w:lineRule="auto"/>
              <w:jc w:val="center"/>
              <w:textAlignment w:val="center"/>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差</w:t>
            </w:r>
          </w:p>
        </w:tc>
      </w:tr>
    </w:tbl>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经实施必要评价程序结合现场评价情况，</w:t>
      </w:r>
      <w:r>
        <w:rPr>
          <w:rFonts w:hint="eastAsia" w:asciiTheme="minorEastAsia" w:hAnsiTheme="minorEastAsia" w:eastAsiaTheme="minorEastAsia" w:cstheme="minorEastAsia"/>
          <w:color w:val="auto"/>
          <w:sz w:val="28"/>
          <w:szCs w:val="28"/>
          <w:highlight w:val="none"/>
          <w:lang w:eastAsia="zh-CN"/>
        </w:rPr>
        <w:t>双鸭山市水务局</w:t>
      </w:r>
      <w:r>
        <w:rPr>
          <w:rFonts w:hint="eastAsia" w:asciiTheme="minorEastAsia" w:hAnsiTheme="minorEastAsia" w:eastAsiaTheme="minorEastAsia" w:cstheme="minorEastAsia"/>
          <w:color w:val="auto"/>
          <w:sz w:val="28"/>
          <w:szCs w:val="28"/>
          <w:highlight w:val="none"/>
        </w:rPr>
        <w:t>绩效评价综合评价得分</w:t>
      </w:r>
      <w:r>
        <w:rPr>
          <w:rFonts w:hint="eastAsia" w:asciiTheme="minorEastAsia" w:hAnsiTheme="minorEastAsia" w:eastAsiaTheme="minorEastAsia" w:cstheme="minorEastAsia"/>
          <w:color w:val="auto"/>
          <w:sz w:val="28"/>
          <w:szCs w:val="28"/>
          <w:highlight w:val="none"/>
          <w:lang w:val="en-US" w:eastAsia="zh-CN"/>
        </w:rPr>
        <w:t>93.93</w:t>
      </w:r>
      <w:r>
        <w:rPr>
          <w:rFonts w:hint="eastAsia" w:asciiTheme="minorEastAsia" w:hAnsiTheme="minorEastAsia" w:eastAsiaTheme="minorEastAsia" w:cstheme="minorEastAsia"/>
          <w:color w:val="auto"/>
          <w:sz w:val="28"/>
          <w:szCs w:val="28"/>
          <w:highlight w:val="none"/>
        </w:rPr>
        <w:t>分，对应级别“</w:t>
      </w:r>
      <w:r>
        <w:rPr>
          <w:rFonts w:hint="eastAsia" w:asciiTheme="minorEastAsia" w:hAnsiTheme="minorEastAsia" w:eastAsiaTheme="minorEastAsia" w:cstheme="minorEastAsia"/>
          <w:color w:val="auto"/>
          <w:sz w:val="28"/>
          <w:szCs w:val="28"/>
          <w:highlight w:val="none"/>
          <w:lang w:val="en-US" w:eastAsia="zh-CN"/>
        </w:rPr>
        <w:t>优</w:t>
      </w:r>
      <w:r>
        <w:rPr>
          <w:rFonts w:hint="eastAsia" w:asciiTheme="minorEastAsia" w:hAnsiTheme="minorEastAsia" w:eastAsiaTheme="minorEastAsia" w:cstheme="minorEastAsia"/>
          <w:color w:val="auto"/>
          <w:sz w:val="28"/>
          <w:szCs w:val="28"/>
          <w:highlight w:val="none"/>
        </w:rPr>
        <w:t>”。</w:t>
      </w:r>
    </w:p>
    <w:p>
      <w:pPr>
        <w:spacing w:line="360" w:lineRule="auto"/>
        <w:ind w:firstLine="560" w:firstLineChars="200"/>
        <w:rPr>
          <w:rFonts w:hint="eastAsia" w:asciiTheme="minorEastAsia" w:hAnsiTheme="minorEastAsia" w:eastAsiaTheme="minorEastAsia" w:cstheme="minorEastAsia"/>
          <w:color w:val="auto"/>
          <w:sz w:val="28"/>
          <w:szCs w:val="28"/>
          <w:highlight w:val="yellow"/>
        </w:rPr>
      </w:pPr>
      <w:r>
        <w:rPr>
          <w:rFonts w:hint="eastAsia" w:asciiTheme="minorEastAsia" w:hAnsiTheme="minorEastAsia" w:eastAsiaTheme="minorEastAsia" w:cstheme="minorEastAsia"/>
          <w:color w:val="auto"/>
          <w:sz w:val="28"/>
          <w:szCs w:val="28"/>
          <w:highlight w:val="none"/>
        </w:rPr>
        <w:t>本次绩效评价工作遵循科学、客观、公正的原则，通过参照评价指标体系，对照相应的评价标准，对</w:t>
      </w:r>
      <w:r>
        <w:rPr>
          <w:rFonts w:hint="eastAsia" w:asciiTheme="minorEastAsia" w:hAnsiTheme="minorEastAsia" w:eastAsiaTheme="minorEastAsia" w:cstheme="minorEastAsia"/>
          <w:color w:val="auto"/>
          <w:sz w:val="28"/>
          <w:szCs w:val="28"/>
          <w:highlight w:val="none"/>
          <w:lang w:eastAsia="zh-CN"/>
        </w:rPr>
        <w:t>双鸭山市水务局</w:t>
      </w:r>
      <w:r>
        <w:rPr>
          <w:rFonts w:hint="eastAsia" w:asciiTheme="minorEastAsia" w:hAnsiTheme="minorEastAsia" w:eastAsiaTheme="minorEastAsia" w:cstheme="minorEastAsia"/>
          <w:color w:val="auto"/>
          <w:sz w:val="28"/>
          <w:szCs w:val="28"/>
          <w:highlight w:val="none"/>
        </w:rPr>
        <w:t>的</w:t>
      </w:r>
      <w:r>
        <w:rPr>
          <w:rFonts w:hint="eastAsia" w:asciiTheme="minorEastAsia" w:hAnsiTheme="minorEastAsia" w:eastAsiaTheme="minorEastAsia" w:cstheme="minorEastAsia"/>
          <w:color w:val="auto"/>
          <w:sz w:val="28"/>
          <w:szCs w:val="28"/>
          <w:highlight w:val="none"/>
          <w:lang w:val="en-US" w:eastAsia="zh-CN"/>
        </w:rPr>
        <w:t>决策、过程、产出、效益</w:t>
      </w:r>
      <w:r>
        <w:rPr>
          <w:rFonts w:hint="eastAsia" w:asciiTheme="minorEastAsia" w:hAnsiTheme="minorEastAsia" w:eastAsiaTheme="minorEastAsia" w:cstheme="minorEastAsia"/>
          <w:color w:val="auto"/>
          <w:sz w:val="28"/>
          <w:szCs w:val="28"/>
          <w:highlight w:val="none"/>
        </w:rPr>
        <w:t>四方面进行综合分析。该项目目标与国家的政策要求、当地发展规划相符，项目目标明确；项目建立组织机构，制定管理制度，资金安排合理；审核流程公开透明，简易准确；项目产出效果基本符合预期要求。</w:t>
      </w:r>
    </w:p>
    <w:p>
      <w:pPr>
        <w:spacing w:line="360" w:lineRule="auto"/>
        <w:ind w:firstLine="562" w:firstLineChars="200"/>
        <w:outlineLvl w:val="1"/>
        <w:rPr>
          <w:rFonts w:hint="eastAsia" w:asciiTheme="minorEastAsia" w:hAnsiTheme="minorEastAsia" w:eastAsiaTheme="minorEastAsia" w:cstheme="minorEastAsia"/>
          <w:b/>
          <w:bCs/>
          <w:color w:val="auto"/>
          <w:sz w:val="28"/>
          <w:szCs w:val="28"/>
        </w:rPr>
      </w:pPr>
      <w:bookmarkStart w:id="58" w:name="_Toc27477"/>
      <w:bookmarkStart w:id="59" w:name="_Toc15132"/>
      <w:r>
        <w:rPr>
          <w:rFonts w:hint="eastAsia" w:asciiTheme="minorEastAsia" w:hAnsiTheme="minorEastAsia" w:eastAsiaTheme="minorEastAsia" w:cstheme="minorEastAsia"/>
          <w:b/>
          <w:bCs/>
          <w:color w:val="auto"/>
          <w:sz w:val="28"/>
          <w:szCs w:val="28"/>
        </w:rPr>
        <w:t>（二）非现场评价情况分析</w:t>
      </w:r>
      <w:bookmarkEnd w:id="58"/>
      <w:bookmarkEnd w:id="59"/>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对</w:t>
      </w:r>
      <w:r>
        <w:rPr>
          <w:rFonts w:hint="eastAsia" w:asciiTheme="minorEastAsia" w:hAnsiTheme="minorEastAsia" w:eastAsiaTheme="minorEastAsia" w:cstheme="minorEastAsia"/>
          <w:color w:val="auto"/>
          <w:sz w:val="28"/>
          <w:szCs w:val="28"/>
          <w:lang w:eastAsia="zh-CN"/>
        </w:rPr>
        <w:t>双鸭山市水务局</w:t>
      </w:r>
      <w:r>
        <w:rPr>
          <w:rFonts w:hint="eastAsia" w:asciiTheme="minorEastAsia" w:hAnsiTheme="minorEastAsia" w:eastAsiaTheme="minorEastAsia" w:cstheme="minorEastAsia"/>
          <w:color w:val="auto"/>
          <w:sz w:val="28"/>
          <w:szCs w:val="28"/>
        </w:rPr>
        <w:t>提供的资料进行整理、分类和分析，工作组成员进一步计算统计定量指标，对定性指标作出经验判断，并运用相应的评价方法、原则对项目决策、项目管理、项目效益等情况进行非现场评价。召开工作组会议，组织讨论，提出问题、建议和意见，撰写初步评价报告。按绩效评价原则、方法对项目决策、项目管理、项目效益等情况进行非现场评价并打分。</w:t>
      </w:r>
    </w:p>
    <w:p>
      <w:pPr>
        <w:spacing w:line="360" w:lineRule="auto"/>
        <w:ind w:firstLine="562" w:firstLineChars="200"/>
        <w:outlineLvl w:val="1"/>
        <w:rPr>
          <w:rFonts w:hint="eastAsia" w:asciiTheme="minorEastAsia" w:hAnsiTheme="minorEastAsia" w:eastAsiaTheme="minorEastAsia" w:cstheme="minorEastAsia"/>
          <w:b/>
          <w:bCs/>
          <w:color w:val="auto"/>
          <w:sz w:val="28"/>
          <w:szCs w:val="28"/>
        </w:rPr>
      </w:pPr>
      <w:bookmarkStart w:id="60" w:name="_Toc15443"/>
      <w:r>
        <w:rPr>
          <w:rFonts w:hint="eastAsia" w:asciiTheme="minorEastAsia" w:hAnsiTheme="minorEastAsia" w:eastAsiaTheme="minorEastAsia" w:cstheme="minorEastAsia"/>
          <w:b/>
          <w:bCs/>
          <w:color w:val="auto"/>
          <w:sz w:val="28"/>
          <w:szCs w:val="28"/>
          <w:lang w:eastAsia="zh-CN"/>
        </w:rPr>
        <w:t>（</w:t>
      </w:r>
      <w:r>
        <w:rPr>
          <w:rFonts w:hint="eastAsia" w:asciiTheme="minorEastAsia" w:hAnsiTheme="minorEastAsia" w:eastAsiaTheme="minorEastAsia" w:cstheme="minorEastAsia"/>
          <w:b/>
          <w:bCs/>
          <w:color w:val="auto"/>
          <w:sz w:val="28"/>
          <w:szCs w:val="28"/>
          <w:lang w:val="en-US" w:eastAsia="zh-CN"/>
        </w:rPr>
        <w:t>三）</w:t>
      </w:r>
      <w:r>
        <w:rPr>
          <w:rFonts w:hint="eastAsia" w:asciiTheme="minorEastAsia" w:hAnsiTheme="minorEastAsia" w:eastAsiaTheme="minorEastAsia" w:cstheme="minorEastAsia"/>
          <w:b/>
          <w:bCs/>
          <w:color w:val="auto"/>
          <w:sz w:val="28"/>
          <w:szCs w:val="28"/>
        </w:rPr>
        <w:t>现场评价情况分析</w:t>
      </w:r>
      <w:bookmarkEnd w:id="60"/>
    </w:p>
    <w:p>
      <w:pPr>
        <w:spacing w:line="360" w:lineRule="auto"/>
        <w:ind w:firstLine="560" w:firstLineChars="200"/>
        <w:outlineLvl w:val="9"/>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在现场评价中，为使评价结果更具有科学性，综合考虑项目实施情况、资金落实情况、项目工作量等因素，对项目实施部门进行现场座谈。对项目申报流程，审核流程，资金到位、资金使用等情况进行现场核实。按绩效评价原则、方法对项目决策、项目管理、项目效益等情况进行现场座谈并总结座谈问卷。</w:t>
      </w:r>
    </w:p>
    <w:p>
      <w:pPr>
        <w:spacing w:line="360" w:lineRule="auto"/>
        <w:ind w:firstLine="562" w:firstLineChars="200"/>
        <w:outlineLvl w:val="1"/>
        <w:rPr>
          <w:rFonts w:hint="eastAsia" w:asciiTheme="minorEastAsia" w:hAnsiTheme="minorEastAsia" w:eastAsiaTheme="minorEastAsia" w:cstheme="minorEastAsia"/>
          <w:b/>
          <w:bCs/>
          <w:color w:val="auto"/>
          <w:sz w:val="28"/>
          <w:szCs w:val="28"/>
        </w:rPr>
      </w:pPr>
      <w:bookmarkStart w:id="61" w:name="_Toc26313"/>
      <w:bookmarkStart w:id="62" w:name="_Toc25899"/>
      <w:r>
        <w:rPr>
          <w:rFonts w:hint="eastAsia" w:asciiTheme="minorEastAsia" w:hAnsiTheme="minorEastAsia" w:eastAsiaTheme="minorEastAsia" w:cstheme="minorEastAsia"/>
          <w:b/>
          <w:bCs/>
          <w:color w:val="auto"/>
          <w:sz w:val="28"/>
          <w:szCs w:val="28"/>
        </w:rPr>
        <w:t>（</w:t>
      </w:r>
      <w:r>
        <w:rPr>
          <w:rFonts w:hint="eastAsia" w:asciiTheme="minorEastAsia" w:hAnsiTheme="minorEastAsia" w:eastAsiaTheme="minorEastAsia" w:cstheme="minorEastAsia"/>
          <w:b/>
          <w:bCs/>
          <w:color w:val="auto"/>
          <w:sz w:val="28"/>
          <w:szCs w:val="28"/>
          <w:lang w:val="en-US" w:eastAsia="zh-CN"/>
        </w:rPr>
        <w:t>四</w:t>
      </w:r>
      <w:r>
        <w:rPr>
          <w:rFonts w:hint="eastAsia" w:asciiTheme="minorEastAsia" w:hAnsiTheme="minorEastAsia" w:eastAsiaTheme="minorEastAsia" w:cstheme="minorEastAsia"/>
          <w:b/>
          <w:bCs/>
          <w:color w:val="auto"/>
          <w:sz w:val="28"/>
          <w:szCs w:val="28"/>
        </w:rPr>
        <w:t>）分项评价得分及结论</w:t>
      </w:r>
      <w:bookmarkEnd w:id="61"/>
      <w:bookmarkEnd w:id="62"/>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对采集的数据资料进行复核汇总、分类整理和综合分析。按照设立的评价指标、标准、权重、方法实施评价，形成评价结论并打分。</w:t>
      </w:r>
    </w:p>
    <w:p>
      <w:pPr>
        <w:spacing w:line="360" w:lineRule="auto"/>
        <w:ind w:firstLine="562" w:firstLineChars="200"/>
        <w:outlineLvl w:val="0"/>
        <w:rPr>
          <w:rFonts w:hint="eastAsia" w:asciiTheme="minorEastAsia" w:hAnsiTheme="minorEastAsia" w:eastAsiaTheme="minorEastAsia" w:cstheme="minorEastAsia"/>
          <w:b/>
          <w:bCs/>
          <w:color w:val="auto"/>
          <w:sz w:val="28"/>
          <w:szCs w:val="28"/>
        </w:rPr>
      </w:pPr>
      <w:bookmarkStart w:id="63" w:name="_Toc27057"/>
      <w:bookmarkStart w:id="64" w:name="_Toc4097"/>
      <w:bookmarkStart w:id="65" w:name="_Toc32537"/>
      <w:r>
        <w:rPr>
          <w:rFonts w:hint="eastAsia" w:asciiTheme="minorEastAsia" w:hAnsiTheme="minorEastAsia" w:eastAsiaTheme="minorEastAsia" w:cstheme="minorEastAsia"/>
          <w:b/>
          <w:bCs/>
          <w:color w:val="auto"/>
          <w:sz w:val="28"/>
          <w:szCs w:val="28"/>
        </w:rPr>
        <w:t>四、绩效评价指标分析</w:t>
      </w:r>
      <w:bookmarkEnd w:id="63"/>
      <w:bookmarkEnd w:id="64"/>
      <w:bookmarkEnd w:id="65"/>
    </w:p>
    <w:p>
      <w:pPr>
        <w:spacing w:line="360" w:lineRule="auto"/>
        <w:ind w:firstLine="562" w:firstLineChars="200"/>
        <w:outlineLvl w:val="1"/>
        <w:rPr>
          <w:rFonts w:hint="eastAsia" w:asciiTheme="minorEastAsia" w:hAnsiTheme="minorEastAsia" w:eastAsiaTheme="minorEastAsia" w:cstheme="minorEastAsia"/>
          <w:b/>
          <w:bCs/>
          <w:color w:val="auto"/>
          <w:sz w:val="28"/>
          <w:szCs w:val="28"/>
          <w:highlight w:val="none"/>
        </w:rPr>
      </w:pPr>
      <w:bookmarkStart w:id="66" w:name="_Toc26139"/>
      <w:bookmarkStart w:id="67" w:name="_Toc27918"/>
      <w:r>
        <w:rPr>
          <w:rFonts w:hint="eastAsia" w:asciiTheme="minorEastAsia" w:hAnsiTheme="minorEastAsia" w:eastAsiaTheme="minorEastAsia" w:cstheme="minorEastAsia"/>
          <w:b/>
          <w:bCs/>
          <w:color w:val="auto"/>
          <w:sz w:val="28"/>
          <w:szCs w:val="28"/>
          <w:highlight w:val="none"/>
        </w:rPr>
        <w:t>（一）决策情况</w:t>
      </w:r>
      <w:bookmarkEnd w:id="66"/>
      <w:bookmarkEnd w:id="67"/>
    </w:p>
    <w:p>
      <w:pPr>
        <w:spacing w:line="360" w:lineRule="auto"/>
        <w:ind w:firstLine="560" w:firstLineChars="200"/>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部门决策设立一级指标1个，权重</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，二级指标</w:t>
      </w: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个，分别为</w:t>
      </w:r>
      <w:r>
        <w:rPr>
          <w:rFonts w:hint="eastAsia" w:asciiTheme="minorEastAsia" w:hAnsiTheme="minorEastAsia" w:eastAsiaTheme="minorEastAsia" w:cstheme="minorEastAsia"/>
          <w:color w:val="auto"/>
          <w:sz w:val="28"/>
          <w:szCs w:val="28"/>
          <w:highlight w:val="none"/>
          <w:lang w:val="en-US" w:eastAsia="zh-CN"/>
        </w:rPr>
        <w:t>目标设定</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rPr>
        <w:t>预算配置</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3；支出配置，</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rPr>
        <w:t>三级指标</w:t>
      </w:r>
      <w:r>
        <w:rPr>
          <w:rFonts w:hint="eastAsia" w:asciiTheme="minorEastAsia" w:hAnsiTheme="minorEastAsia" w:eastAsiaTheme="minorEastAsia" w:cstheme="minorEastAsia"/>
          <w:color w:val="auto"/>
          <w:sz w:val="28"/>
          <w:szCs w:val="28"/>
          <w:highlight w:val="none"/>
          <w:lang w:val="en-US" w:eastAsia="zh-CN"/>
        </w:rPr>
        <w:t>10</w:t>
      </w:r>
      <w:r>
        <w:rPr>
          <w:rFonts w:hint="eastAsia" w:asciiTheme="minorEastAsia" w:hAnsiTheme="minorEastAsia" w:eastAsiaTheme="minorEastAsia" w:cstheme="minorEastAsia"/>
          <w:color w:val="auto"/>
          <w:sz w:val="28"/>
          <w:szCs w:val="28"/>
          <w:highlight w:val="none"/>
        </w:rPr>
        <w:t>个，分别为绩效目标与部门职能相符程度，权重</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；工作任务与绩效目标匹配程度，权重</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目标任务分解情况，权重</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；目标任务量化情况，权重</w:t>
      </w:r>
      <w:r>
        <w:rPr>
          <w:rFonts w:hint="eastAsia" w:asciiTheme="minorEastAsia" w:hAnsiTheme="minorEastAsia" w:eastAsiaTheme="minorEastAsia" w:cstheme="minorEastAsia"/>
          <w:color w:val="auto"/>
          <w:sz w:val="28"/>
          <w:szCs w:val="28"/>
          <w:highlight w:val="none"/>
          <w:lang w:val="en-US" w:eastAsia="zh-CN"/>
        </w:rPr>
        <w:t>1.5；部门人员编制数的确定性，</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1；部门在职人员数的确定性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0.5；在职人员控制率，</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1.5；“三公经费”金额的真实性，</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1；三公经费”变动率，</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2.5；重点支出安排率，</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2.5。</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val="en-US" w:eastAsia="zh-CN"/>
        </w:rPr>
        <w:t>目标设定</w:t>
      </w:r>
      <w:r>
        <w:rPr>
          <w:rFonts w:hint="eastAsia" w:asciiTheme="minorEastAsia" w:hAnsiTheme="minorEastAsia" w:eastAsiaTheme="minorEastAsia" w:cstheme="minorEastAsia"/>
          <w:color w:val="auto"/>
          <w:sz w:val="28"/>
          <w:szCs w:val="28"/>
          <w:highlight w:val="none"/>
        </w:rPr>
        <w:t>包括绩效目标与部门职能相符程度</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工作任务与绩效目标匹配程度</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目标任务分解情况</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目标任务量化情况</w:t>
      </w:r>
      <w:r>
        <w:rPr>
          <w:rFonts w:hint="eastAsia" w:asciiTheme="minorEastAsia" w:hAnsiTheme="minorEastAsia" w:eastAsia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rPr>
        <w:t>个方面</w:t>
      </w:r>
      <w:r>
        <w:rPr>
          <w:rFonts w:hint="eastAsia" w:asciiTheme="minorEastAsia" w:hAnsiTheme="minorEastAsia" w:eastAsiaTheme="minorEastAsia" w:cstheme="minorEastAsia"/>
          <w:color w:val="auto"/>
          <w:sz w:val="28"/>
          <w:szCs w:val="28"/>
          <w:highlight w:val="none"/>
          <w:lang w:eastAsia="zh-CN"/>
        </w:rPr>
        <w:t>。</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（1）绩效目标与部门职能相符程度</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工作任务与绩效目标匹配程度</w:t>
      </w:r>
      <w:r>
        <w:rPr>
          <w:rFonts w:hint="eastAsia" w:asciiTheme="minorEastAsia" w:hAnsiTheme="minorEastAsia" w:eastAsiaTheme="minorEastAsia" w:cstheme="minorEastAsia"/>
          <w:color w:val="auto"/>
          <w:sz w:val="28"/>
          <w:szCs w:val="28"/>
          <w:highlight w:val="none"/>
          <w:lang w:eastAsia="zh-CN"/>
        </w:rPr>
        <w:t>指部门所设立的整体绩效目标依据是否充分，是否符合客观实际，用以反映和考核部门整体绩效目标与部门履职、年度工作任务的相符性情况</w:t>
      </w:r>
      <w:r>
        <w:rPr>
          <w:rFonts w:hint="eastAsia" w:asciiTheme="minorEastAsia" w:hAnsiTheme="minorEastAsia" w:eastAsiaTheme="minorEastAsia" w:cstheme="minorEastAsia"/>
          <w:color w:val="auto"/>
          <w:sz w:val="28"/>
          <w:szCs w:val="28"/>
          <w:highlight w:val="none"/>
        </w:rPr>
        <w:t>。评价要点：①是否符合国家法律法规、国民经济和社会发展总体规划；②是否符合部门“三定”方案确定的职责；③是否符合部门制定的中长期实施规划。绩效目标条目数是指单位与政府签订的年度目标责任书中的与绩效目标相关的条目数。部门设立的绩效目标与部门履行职能相符得1.5分，所设立的绩效目标与年度工作任务相符得1.50分</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否则得0分。该项指标得</w:t>
      </w: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分。</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（2）目标任务分解情况</w:t>
      </w:r>
      <w:r>
        <w:rPr>
          <w:rFonts w:hint="eastAsia" w:asciiTheme="minorEastAsia" w:hAnsiTheme="minorEastAsia" w:eastAsiaTheme="minorEastAsia" w:cstheme="minorEastAsia"/>
          <w:color w:val="auto"/>
          <w:sz w:val="28"/>
          <w:szCs w:val="28"/>
          <w:highlight w:val="none"/>
          <w:lang w:eastAsia="zh-CN"/>
        </w:rPr>
        <w:t>及目标任务量化情况</w:t>
      </w:r>
      <w:r>
        <w:rPr>
          <w:rFonts w:hint="eastAsia" w:asciiTheme="minorEastAsia" w:hAnsiTheme="minorEastAsia" w:eastAsiaTheme="minorEastAsia" w:cstheme="minorEastAsia"/>
          <w:color w:val="auto"/>
          <w:sz w:val="28"/>
          <w:szCs w:val="28"/>
          <w:highlight w:val="none"/>
        </w:rPr>
        <w:t>指部门依据整体绩效目标所设定的绩效指标是否清晰、细化、可衡量，用以反映和考核部门整体绩效目标的明细化情况。评价要点:①是否将部门整体的绩效目标细化分解为具体的工作任务。②是否通过清晰、可衡量的指标值予以体现。③是否与部门年度的任务数或计划数相对应；④是否与本年度部门预算资金相匹配。目标任务分解情况是指部门整体的绩效目标是否细化分解为具体的工作任务。包括：①是否分解；②分解有无遗漏。目标任务量化情况是指绩效指标是否通过清晰、可衡量的指标值予以体现。包括：①任务是否量化可考核；②任务是否与资金匹配或有资金保障。部门整体的绩效目标细化分解为具体的工作任务得1.50分，否则得0分。绩效指标通过清晰、可衡量的指标值予以体现得1.50分，否则得0分</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该项指标得1分。</w:t>
      </w:r>
    </w:p>
    <w:p>
      <w:pPr>
        <w:spacing w:line="360" w:lineRule="auto"/>
        <w:ind w:firstLine="560" w:firstLineChars="200"/>
        <w:outlineLvl w:val="9"/>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预算配置包括</w:t>
      </w:r>
      <w:r>
        <w:rPr>
          <w:rFonts w:hint="eastAsia" w:asciiTheme="minorEastAsia" w:hAnsiTheme="minorEastAsia" w:eastAsiaTheme="minorEastAsia" w:cstheme="minorEastAsia"/>
          <w:color w:val="auto"/>
          <w:sz w:val="28"/>
          <w:szCs w:val="28"/>
          <w:highlight w:val="none"/>
        </w:rPr>
        <w:t>部门人员编制数的确定性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部门在职人员数的确定性在职人员控制率</w:t>
      </w:r>
      <w:r>
        <w:rPr>
          <w:rFonts w:hint="eastAsia" w:asciiTheme="minorEastAsia" w:hAnsiTheme="minorEastAsia" w:eastAsiaTheme="minorEastAsia" w:cstheme="minorEastAsia"/>
          <w:color w:val="auto"/>
          <w:sz w:val="28"/>
          <w:szCs w:val="28"/>
          <w:highlight w:val="none"/>
          <w:lang w:eastAsia="zh-CN"/>
        </w:rPr>
        <w:t>三个方面。</w:t>
      </w:r>
    </w:p>
    <w:p>
      <w:pPr>
        <w:spacing w:line="360" w:lineRule="auto"/>
        <w:ind w:firstLine="560" w:firstLineChars="200"/>
        <w:jc w:val="both"/>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1）部门人员编制数的确定性指部门本年度实际在职人员数与编制数的比率，用以反映和考核部门对人员成本的控制程度。在职人员编制数：机构编制部门核定批复的部门的人员编制数。在职人员数：部门实际在职人数，以财政部确定的部门决算编制口径为准。在职人员控制率=（在职人员数/编制数）×100%</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评价要点：</w:t>
      </w:r>
      <w:r>
        <w:rPr>
          <w:rFonts w:hint="eastAsia" w:asciiTheme="minorEastAsia" w:hAnsiTheme="minorEastAsia" w:eastAsiaTheme="minorEastAsia" w:cstheme="minorEastAsia"/>
          <w:color w:val="auto"/>
          <w:sz w:val="28"/>
          <w:szCs w:val="28"/>
          <w:highlight w:val="none"/>
          <w:lang w:eastAsia="zh-CN"/>
        </w:rPr>
        <w:t>具有机构编制部门核定的批复文件得1分，否则得0分。</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val="en-US" w:eastAsia="zh-CN"/>
        </w:rPr>
        <w:t>。</w:t>
      </w:r>
    </w:p>
    <w:p>
      <w:pPr>
        <w:spacing w:line="360" w:lineRule="auto"/>
        <w:ind w:firstLine="560" w:firstLineChars="200"/>
        <w:jc w:val="both"/>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）部门在职人员数的确定性</w:t>
      </w:r>
      <w:r>
        <w:rPr>
          <w:rFonts w:hint="eastAsia" w:asciiTheme="minorEastAsia" w:hAnsiTheme="minorEastAsia" w:eastAsiaTheme="minorEastAsia" w:cstheme="minorEastAsia"/>
          <w:color w:val="auto"/>
          <w:sz w:val="28"/>
          <w:szCs w:val="28"/>
          <w:highlight w:val="none"/>
          <w:lang w:eastAsia="zh-CN"/>
        </w:rPr>
        <w:t>指</w:t>
      </w:r>
      <w:r>
        <w:rPr>
          <w:rFonts w:hint="eastAsia" w:asciiTheme="minorEastAsia" w:hAnsiTheme="minorEastAsia" w:eastAsiaTheme="minorEastAsia" w:cstheme="minorEastAsia"/>
          <w:color w:val="auto"/>
          <w:sz w:val="28"/>
          <w:szCs w:val="28"/>
          <w:highlight w:val="none"/>
        </w:rPr>
        <w:t>部门本年度实际在职人员数与编制数的比率，用以反映和考核部门对人员成本的控制程度。在职人员编制数：机构编制部门核定批复的部门的人员编制数。在职人员数：部门实际在职人数，以财政部确定的部门决算编制口径为准。在职人员控制率=（在职人员数/编制数）×100%</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评价要点：具有相关在职人员证明材料得0.5分，否则得0分</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0.5</w:t>
      </w:r>
      <w:r>
        <w:rPr>
          <w:rFonts w:hint="eastAsia" w:asciiTheme="minorEastAsia" w:hAnsiTheme="minorEastAsia" w:eastAsiaTheme="minorEastAsia" w:cstheme="minorEastAsia"/>
          <w:color w:val="auto"/>
          <w:sz w:val="28"/>
          <w:szCs w:val="28"/>
          <w:highlight w:val="none"/>
        </w:rPr>
        <w:t>分。</w:t>
      </w:r>
    </w:p>
    <w:p>
      <w:pPr>
        <w:pStyle w:val="2"/>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bidi="ar-SA"/>
        </w:rPr>
        <w:t>（3）在职人员控制率指部门本年度实际在职人员数与编制数的比率，用以反映和考核部门对人员成本的控制程度。在职人员编制数：机构编制部门核定批复的部门的人员编制数。在职人员数：部门实际在职人数，以财政部确定的部门决算编制口径为准。在职人员控制率=（在职人员数/编制数）×100%。</w:t>
      </w:r>
      <w:r>
        <w:rPr>
          <w:rFonts w:hint="eastAsia" w:asciiTheme="minorEastAsia" w:hAnsiTheme="minorEastAsia" w:eastAsiaTheme="minorEastAsia" w:cstheme="minorEastAsia"/>
          <w:color w:val="auto"/>
          <w:sz w:val="28"/>
          <w:szCs w:val="28"/>
          <w:highlight w:val="none"/>
          <w:lang w:val="en-US" w:eastAsia="zh-CN"/>
        </w:rPr>
        <w:t>评价要点：①在职人员控制率小于或等于100%的，得满分；②在职人员控制率大于100%且小于等于110%的，得1分；③在职人员控制率大于110%且小于等于120%的，得0.5分；④在职人员控制率大于120%的，得0分。</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分</w:t>
      </w:r>
    </w:p>
    <w:p>
      <w:pPr>
        <w:pStyle w:val="2"/>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val="en-US" w:eastAsia="zh-CN"/>
        </w:rPr>
        <w:t>3、支出配置包括</w:t>
      </w:r>
      <w:r>
        <w:rPr>
          <w:rFonts w:hint="eastAsia" w:asciiTheme="minorEastAsia" w:hAnsiTheme="minorEastAsia" w:eastAsiaTheme="minorEastAsia" w:cstheme="minorEastAsia"/>
          <w:color w:val="auto"/>
          <w:sz w:val="28"/>
          <w:szCs w:val="28"/>
          <w:highlight w:val="none"/>
        </w:rPr>
        <w:t>“三公经费”金额的真实性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三公经费”变动率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重点支出安排率</w:t>
      </w:r>
      <w:r>
        <w:rPr>
          <w:rFonts w:hint="eastAsia" w:asciiTheme="minorEastAsia" w:hAnsiTheme="minorEastAsia" w:eastAsiaTheme="minorEastAsia" w:cstheme="minorEastAsia"/>
          <w:color w:val="auto"/>
          <w:sz w:val="28"/>
          <w:szCs w:val="28"/>
          <w:highlight w:val="none"/>
          <w:lang w:eastAsia="zh-CN"/>
        </w:rPr>
        <w:t>三个方面。</w:t>
      </w:r>
    </w:p>
    <w:p>
      <w:pPr>
        <w:pStyle w:val="2"/>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三公经费”金额的真实性指部门本年度“三公经费”预算数与上年度“三公经费”预算数的变动比率，用以反映和考核部门对控制重点行政成本的努力程度。“三公经费”：年度预算安排的因公出国（境）费、公务车辆购置及运行费和公务招待费。“三公经费”变动率=[（本年度“三公经费”总额-上年度“三公经费”总额）/上年度“三公经费”总额]×100%。                                                                         注：根据国家要求，“三公经费”原则上要求只减不增</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评价要点：</w:t>
      </w:r>
      <w:r>
        <w:rPr>
          <w:rFonts w:hint="eastAsia" w:asciiTheme="minorEastAsia" w:hAnsiTheme="minorEastAsia" w:eastAsiaTheme="minorEastAsia" w:cstheme="minorEastAsia"/>
          <w:color w:val="auto"/>
          <w:sz w:val="28"/>
          <w:szCs w:val="28"/>
          <w:highlight w:val="none"/>
          <w:lang w:eastAsia="zh-CN"/>
        </w:rPr>
        <w:t>具备上年度及本年度预算批复文件得1分，否则得0分。</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eastAsia="zh-CN"/>
        </w:rPr>
        <w:t>。</w:t>
      </w:r>
    </w:p>
    <w:p>
      <w:pPr>
        <w:pStyle w:val="2"/>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三公经费”变动率指部门本年度“三公经费”预算数与上年度“三公经费”预算数的变动比率，用以反映和考核部门对控制重点行政成本的努力程度。“三公经费”：年度预算安排的因公出国（境）费、公务车辆购置及运行费和公务招待费。“三公经费”变动率=[（本年度“三公经费”总额-上年度“三公经费”总额）/上年度“三公经费”总额]×100%。                                                                         注：根据国家要求，“三公经费”原则上要求只减不增</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评价要点：</w:t>
      </w:r>
      <w:r>
        <w:rPr>
          <w:rFonts w:hint="eastAsia" w:asciiTheme="minorEastAsia" w:hAnsiTheme="minorEastAsia" w:eastAsiaTheme="minorEastAsia" w:cstheme="minorEastAsia"/>
          <w:color w:val="auto"/>
          <w:sz w:val="28"/>
          <w:szCs w:val="28"/>
          <w:highlight w:val="none"/>
          <w:lang w:eastAsia="zh-CN"/>
        </w:rPr>
        <w:t>①“三公经费”变动率小于或等于0的，得满分；②“三公经费”变动率大于或等于10%的，得0分；③“三公经费”变动率在0-10%之间的，在0和满分之间计算确定：得分=[(10%-“三公经费”变动率)/10%]×该指标分值。</w:t>
      </w:r>
      <w:r>
        <w:rPr>
          <w:rFonts w:hint="eastAsia" w:asciiTheme="minorEastAsia" w:hAnsiTheme="minorEastAsia" w:eastAsiaTheme="minorEastAsia" w:cstheme="minorEastAsia"/>
          <w:color w:val="auto"/>
          <w:sz w:val="28"/>
          <w:szCs w:val="28"/>
          <w:highlight w:val="none"/>
        </w:rPr>
        <w:t>该项指标</w:t>
      </w:r>
      <w:r>
        <w:rPr>
          <w:rFonts w:hint="eastAsia" w:asciiTheme="minorEastAsia" w:hAnsiTheme="minorEastAsia" w:eastAsiaTheme="minorEastAsia" w:cstheme="minorEastAsia"/>
          <w:color w:val="auto"/>
          <w:sz w:val="28"/>
          <w:szCs w:val="28"/>
          <w:highlight w:val="none"/>
          <w:lang w:eastAsia="zh-CN"/>
        </w:rPr>
        <w:t>不得</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eastAsia="zh-CN"/>
        </w:rPr>
        <w:t>。扣分说明：2017年12.10万元，2018年4.5万元，变动率-62.81%，但公务接待费增长74.42%。</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lang w:eastAsia="zh-CN"/>
        </w:rPr>
        <w:t>）重点支出安排率指部门本年度预算安排的重点项目支出与部门项目总支出的比率，用以反映和考核部门对履行主要职责或完成重点任务的保障程度。重点支出安排率=（重点项目拨款/项目总拨款）×100%。重点项目支出：部门年度预算安排的，与本部门履职和发展密切相关、具有明显社会和经济影响、党委政府关心或社会比较关注的项目支出总额。项目总支出：部门年度预算安排的项目支出总额。评价要点：安排率＞60%时得2.50分，每下降5%扣0.9分，扣完为止。</w:t>
      </w:r>
      <w:r>
        <w:rPr>
          <w:rFonts w:hint="eastAsia" w:asciiTheme="minorEastAsia" w:hAnsiTheme="minorEastAsia" w:eastAsiaTheme="minorEastAsia" w:cstheme="minorEastAsia"/>
          <w:color w:val="auto"/>
          <w:sz w:val="28"/>
          <w:szCs w:val="28"/>
          <w:highlight w:val="none"/>
        </w:rPr>
        <w:t>该项指标</w:t>
      </w:r>
      <w:r>
        <w:rPr>
          <w:rFonts w:hint="eastAsia" w:asciiTheme="minorEastAsia" w:hAnsiTheme="minorEastAsia" w:eastAsiaTheme="minorEastAsia" w:cstheme="minorEastAsia"/>
          <w:color w:val="auto"/>
          <w:sz w:val="28"/>
          <w:szCs w:val="28"/>
          <w:highlight w:val="none"/>
          <w:lang w:eastAsia="zh-CN"/>
        </w:rPr>
        <w:t>得</w:t>
      </w:r>
      <w:r>
        <w:rPr>
          <w:rFonts w:hint="eastAsia" w:asciiTheme="minorEastAsia" w:hAnsiTheme="minorEastAsia" w:eastAsiaTheme="minorEastAsia" w:cstheme="minorEastAsia"/>
          <w:color w:val="auto"/>
          <w:sz w:val="28"/>
          <w:szCs w:val="28"/>
          <w:highlight w:val="none"/>
          <w:lang w:val="en-US" w:eastAsia="zh-CN"/>
        </w:rPr>
        <w:t>2.5</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eastAsia="zh-CN"/>
        </w:rPr>
        <w:t>。</w:t>
      </w:r>
    </w:p>
    <w:p>
      <w:pPr>
        <w:spacing w:line="360" w:lineRule="auto"/>
        <w:ind w:firstLine="562" w:firstLineChars="200"/>
        <w:outlineLvl w:val="1"/>
        <w:rPr>
          <w:rFonts w:hint="eastAsia" w:asciiTheme="minorEastAsia" w:hAnsiTheme="minorEastAsia" w:eastAsiaTheme="minorEastAsia" w:cstheme="minorEastAsia"/>
          <w:b/>
          <w:bCs/>
          <w:color w:val="auto"/>
          <w:sz w:val="28"/>
          <w:szCs w:val="28"/>
          <w:highlight w:val="none"/>
        </w:rPr>
      </w:pPr>
      <w:bookmarkStart w:id="68" w:name="_Toc31780"/>
      <w:bookmarkStart w:id="69" w:name="_Toc2427"/>
      <w:r>
        <w:rPr>
          <w:rFonts w:hint="eastAsia" w:asciiTheme="minorEastAsia" w:hAnsiTheme="minorEastAsia" w:eastAsiaTheme="minorEastAsia" w:cstheme="minorEastAsia"/>
          <w:b/>
          <w:bCs/>
          <w:color w:val="auto"/>
          <w:sz w:val="28"/>
          <w:szCs w:val="28"/>
          <w:highlight w:val="none"/>
        </w:rPr>
        <w:t>（二）过程情况</w:t>
      </w:r>
      <w:bookmarkEnd w:id="68"/>
      <w:bookmarkEnd w:id="69"/>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过程情况</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设立一级指标1个，权重</w:t>
      </w:r>
      <w:r>
        <w:rPr>
          <w:rFonts w:hint="eastAsia" w:asciiTheme="minorEastAsia" w:hAnsiTheme="minorEastAsia" w:eastAsiaTheme="minorEastAsia" w:cstheme="minorEastAsia"/>
          <w:color w:val="auto"/>
          <w:sz w:val="28"/>
          <w:szCs w:val="28"/>
          <w:highlight w:val="none"/>
          <w:lang w:val="en-US" w:eastAsia="zh-CN"/>
        </w:rPr>
        <w:t>20</w:t>
      </w:r>
      <w:r>
        <w:rPr>
          <w:rFonts w:hint="eastAsia" w:asciiTheme="minorEastAsia" w:hAnsiTheme="minorEastAsia" w:eastAsiaTheme="minorEastAsia" w:cstheme="minorEastAsia"/>
          <w:color w:val="auto"/>
          <w:sz w:val="28"/>
          <w:szCs w:val="28"/>
          <w:highlight w:val="none"/>
        </w:rPr>
        <w:t>，二级指标</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个，分别为预算执行，权重</w:t>
      </w:r>
      <w:r>
        <w:rPr>
          <w:rFonts w:hint="eastAsia" w:asciiTheme="minorEastAsia" w:hAnsiTheme="minorEastAsia" w:eastAsiaTheme="minorEastAsia" w:cstheme="minorEastAsia"/>
          <w:color w:val="auto"/>
          <w:sz w:val="28"/>
          <w:szCs w:val="28"/>
          <w:highlight w:val="none"/>
          <w:lang w:val="en-US" w:eastAsia="zh-CN"/>
        </w:rPr>
        <w:t>8</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预算管理</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8</w:t>
      </w:r>
      <w:r>
        <w:rPr>
          <w:rFonts w:hint="eastAsia" w:asciiTheme="minorEastAsia" w:hAnsiTheme="minorEastAsia" w:eastAsiaTheme="minorEastAsia" w:cstheme="minorEastAsia"/>
          <w:color w:val="auto"/>
          <w:sz w:val="28"/>
          <w:szCs w:val="28"/>
          <w:highlight w:val="none"/>
        </w:rPr>
        <w:t>。资产管理，权重</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。三级指标</w:t>
      </w:r>
      <w:r>
        <w:rPr>
          <w:rFonts w:hint="eastAsia" w:asciiTheme="minorEastAsia" w:hAnsiTheme="minorEastAsia" w:eastAsiaTheme="minorEastAsia" w:cstheme="minorEastAsia"/>
          <w:color w:val="auto"/>
          <w:sz w:val="28"/>
          <w:szCs w:val="28"/>
          <w:highlight w:val="none"/>
          <w:lang w:val="en-US" w:eastAsia="zh-CN"/>
        </w:rPr>
        <w:t>14</w:t>
      </w:r>
      <w:r>
        <w:rPr>
          <w:rFonts w:hint="eastAsia" w:asciiTheme="minorEastAsia" w:hAnsiTheme="minorEastAsia" w:eastAsiaTheme="minorEastAsia" w:cstheme="minorEastAsia"/>
          <w:color w:val="auto"/>
          <w:sz w:val="28"/>
          <w:szCs w:val="28"/>
          <w:highlight w:val="none"/>
        </w:rPr>
        <w:t>个，分别为预算完成率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预算调整率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支付进度率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公用经费控制率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“三公经费”控制率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政府采购执行率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内部控制与财务管理制度健全性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资金使用合规性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预决算信息公开性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0.5；</w:t>
      </w:r>
      <w:r>
        <w:rPr>
          <w:rFonts w:hint="eastAsia" w:asciiTheme="minorEastAsia" w:hAnsiTheme="minorEastAsia" w:eastAsiaTheme="minorEastAsia" w:cstheme="minorEastAsia"/>
          <w:color w:val="auto"/>
          <w:sz w:val="28"/>
          <w:szCs w:val="28"/>
          <w:highlight w:val="none"/>
        </w:rPr>
        <w:t>基础信息完善性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绩效自评</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资产管理制度健全性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0.8；</w:t>
      </w:r>
      <w:r>
        <w:rPr>
          <w:rFonts w:hint="eastAsia" w:asciiTheme="minorEastAsia" w:hAnsiTheme="minorEastAsia" w:eastAsiaTheme="minorEastAsia" w:cstheme="minorEastAsia"/>
          <w:color w:val="auto"/>
          <w:sz w:val="28"/>
          <w:szCs w:val="28"/>
          <w:highlight w:val="none"/>
        </w:rPr>
        <w:t>资产管理安全性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固定资产利用率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rPr>
        <w:t>。</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val="en-US" w:eastAsia="zh-CN"/>
        </w:rPr>
        <w:t>预算执行</w:t>
      </w:r>
      <w:r>
        <w:rPr>
          <w:rFonts w:hint="eastAsia" w:asciiTheme="minorEastAsia" w:hAnsiTheme="minorEastAsia" w:eastAsiaTheme="minorEastAsia" w:cstheme="minorEastAsia"/>
          <w:color w:val="auto"/>
          <w:sz w:val="28"/>
          <w:szCs w:val="28"/>
          <w:highlight w:val="none"/>
        </w:rPr>
        <w:t>包括预算完成率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预算调整率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支付进度率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公用经费控制率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“三公经费”控制率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政府采购执行率</w:t>
      </w:r>
      <w:r>
        <w:rPr>
          <w:rFonts w:hint="eastAsia" w:asciiTheme="minorEastAsia" w:hAnsiTheme="minorEastAsia" w:eastAsiaTheme="minorEastAsia" w:cstheme="minorEastAsia"/>
          <w:color w:val="auto"/>
          <w:sz w:val="28"/>
          <w:szCs w:val="28"/>
          <w:highlight w:val="none"/>
          <w:lang w:eastAsia="zh-CN"/>
        </w:rPr>
        <w:t>六</w:t>
      </w:r>
      <w:r>
        <w:rPr>
          <w:rFonts w:hint="eastAsia" w:asciiTheme="minorEastAsia" w:hAnsiTheme="minorEastAsia" w:eastAsiaTheme="minorEastAsia" w:cstheme="minorEastAsia"/>
          <w:color w:val="auto"/>
          <w:sz w:val="28"/>
          <w:szCs w:val="28"/>
          <w:highlight w:val="none"/>
        </w:rPr>
        <w:t>个方面</w:t>
      </w:r>
      <w:r>
        <w:rPr>
          <w:rFonts w:hint="eastAsia" w:asciiTheme="minorEastAsia" w:hAnsiTheme="minorEastAsia" w:eastAsiaTheme="minorEastAsia" w:cstheme="minorEastAsia"/>
          <w:color w:val="auto"/>
          <w:sz w:val="28"/>
          <w:szCs w:val="28"/>
          <w:highlight w:val="none"/>
          <w:lang w:eastAsia="zh-CN"/>
        </w:rPr>
        <w:t>。</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预算完成率指部门本年度预算完成数与预算数的比率，用以反映和考核部门预算完成程度。预算完成率=（预算完成数/预算数）×100%。预算完成数：部门本年度实际完成的预算数。预算数：财政部门批复的本年度部门预算数。</w:t>
      </w:r>
      <w:r>
        <w:rPr>
          <w:rFonts w:hint="eastAsia" w:asciiTheme="minorEastAsia" w:hAnsiTheme="minorEastAsia" w:eastAsiaTheme="minorEastAsia" w:cstheme="minorEastAsia"/>
          <w:color w:val="auto"/>
          <w:sz w:val="28"/>
          <w:szCs w:val="28"/>
          <w:highlight w:val="none"/>
          <w:lang w:eastAsia="zh-CN"/>
        </w:rPr>
        <w:t>评价要点：①预算完成率大于或等于95%的，得满分；②预算完成率小于或等于70%的，得0分；③预算完成率在70%-95%之间的，在0分和满分之间计算确定：得分=(预算完成率－70%)/(95%－70%)×该指标分值。</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分。</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（2）预算调整率</w:t>
      </w:r>
      <w:r>
        <w:rPr>
          <w:rFonts w:hint="eastAsia" w:asciiTheme="minorEastAsia" w:hAnsiTheme="minorEastAsia" w:eastAsiaTheme="minorEastAsia" w:cstheme="minorEastAsia"/>
          <w:color w:val="auto"/>
          <w:sz w:val="28"/>
          <w:szCs w:val="28"/>
          <w:highlight w:val="none"/>
          <w:lang w:eastAsia="zh-CN"/>
        </w:rPr>
        <w:t>指</w:t>
      </w:r>
      <w:r>
        <w:rPr>
          <w:rFonts w:hint="eastAsia" w:asciiTheme="minorEastAsia" w:hAnsiTheme="minorEastAsia" w:eastAsiaTheme="minorEastAsia" w:cstheme="minorEastAsia"/>
          <w:color w:val="auto"/>
          <w:sz w:val="28"/>
          <w:szCs w:val="28"/>
          <w:highlight w:val="none"/>
        </w:rPr>
        <w:t>部门本年度预算调整数与预算数的比率，用以反映和考核部门预算的调整程度。预算调整率=（预算调整数/预算数）×100%。预算调整数：部门在本年度内涉及预算的追加、追减或结构调整的资金总和（因落实国家政策、发生不可抗力、上级部门或本级党委政府临时交办而产生的调整除外）。注：若有预算调整，则分析其主客观原因后对其打分，原因不合理或无批复得0分。</w:t>
      </w:r>
      <w:r>
        <w:rPr>
          <w:rFonts w:hint="eastAsia" w:asciiTheme="minorEastAsia" w:hAnsiTheme="minorEastAsia" w:eastAsiaTheme="minorEastAsia" w:cstheme="minorEastAsia"/>
          <w:color w:val="auto"/>
          <w:sz w:val="28"/>
          <w:szCs w:val="28"/>
          <w:highlight w:val="none"/>
          <w:lang w:eastAsia="zh-CN"/>
        </w:rPr>
        <w:t>。评价要点：①预算调整率等于0的，得满分；②预算调整率大于0且小于等于10%的，得0.5分；③预算调整率大于10%的，得0分。</w:t>
      </w:r>
      <w:r>
        <w:rPr>
          <w:rFonts w:hint="eastAsia" w:asciiTheme="minorEastAsia" w:hAnsiTheme="minorEastAsia" w:eastAsiaTheme="minorEastAsia" w:cstheme="minorEastAsia"/>
          <w:color w:val="auto"/>
          <w:sz w:val="28"/>
          <w:szCs w:val="28"/>
          <w:highlight w:val="none"/>
        </w:rPr>
        <w:t>该项指标</w:t>
      </w:r>
      <w:r>
        <w:rPr>
          <w:rFonts w:hint="eastAsia" w:asciiTheme="minorEastAsia" w:hAnsiTheme="minorEastAsia" w:eastAsiaTheme="minorEastAsia" w:cstheme="minorEastAsia"/>
          <w:color w:val="auto"/>
          <w:sz w:val="28"/>
          <w:szCs w:val="28"/>
          <w:highlight w:val="none"/>
          <w:lang w:eastAsia="zh-CN"/>
        </w:rPr>
        <w:t>不</w:t>
      </w:r>
      <w:r>
        <w:rPr>
          <w:rFonts w:hint="eastAsia" w:asciiTheme="minorEastAsia" w:hAnsiTheme="minorEastAsia" w:eastAsiaTheme="minorEastAsia" w:cstheme="minorEastAsia"/>
          <w:color w:val="auto"/>
          <w:sz w:val="28"/>
          <w:szCs w:val="28"/>
          <w:highlight w:val="none"/>
        </w:rPr>
        <w:t>得分。</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）支付进度率</w:t>
      </w:r>
      <w:r>
        <w:rPr>
          <w:rFonts w:hint="eastAsia" w:asciiTheme="minorEastAsia" w:hAnsiTheme="minorEastAsia" w:eastAsiaTheme="minorEastAsia" w:cstheme="minorEastAsia"/>
          <w:color w:val="auto"/>
          <w:sz w:val="28"/>
          <w:szCs w:val="28"/>
          <w:highlight w:val="none"/>
          <w:lang w:eastAsia="zh-CN"/>
        </w:rPr>
        <w:t>指部门实际支付进度与既定支付进度的比率，用以反映和考核部门预算执行的及时性和均衡性程度。支付进度率=（实际支付进度/既定支付进度）×100%。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支付进度率即分季支付率（每季支付金额/当季拨款额）</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评价要点：①支付进度率大于或等于95%的，得满分；②支付进度率小于或等于70%的，得0分；③支付进度率在70%-95%之间的，在0分和满分之间计算确定：得分=(支付进度率－70%)/(95%－70%)×该指标分值。</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分。</w:t>
      </w:r>
    </w:p>
    <w:p>
      <w:pPr>
        <w:pStyle w:val="2"/>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eastAsia="zh-CN"/>
        </w:rPr>
        <w:t>）公用经费控制率指部门本年度预算安排实际支出的公用经费总额与预算安排的公用经费拨款总额的比率，用以反映和考核部门对机构运转成本的实际控制程度。公用经费控制率=（本年预算安排实际支出公用经费总额/预算安排公用经费拨款总额）×100%。评价要点：①公用经费控制率小于或等于100%的，得满分；②公用经费控制率大于或等于105%的，得0分；③公用经费控制率在100%-105%之间的，在0和满分之间计算确定：得分=(105%-公用经费控制率)/(105%-100%)×该指标分值。</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eastAsia="zh-CN"/>
        </w:rPr>
        <w:t>。</w:t>
      </w:r>
    </w:p>
    <w:p>
      <w:pPr>
        <w:pStyle w:val="2"/>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eastAsia="zh-CN"/>
        </w:rPr>
        <w:t>）“三公经费”控制率指部门本年度财政拨款（含项目经费）“三公经费”实际支出数与预算安排数的比率，用以反映和考核部门对“三公经费”的实际控制程度。“三公经费”控制率=（财政拨款“三公经费”实际支出数/财政拨款“三公经费”预算安排数）×100%。注：若有经费变动，则分析其主客观原因后对其打分，原因不合理或无批复得0分。评价要点：①“三公经费”控制率小于或等于100%的，得满分；②“三公经费”控制率大于或等于105%的，得0分；③“三公经费”控制率在100%-105%之间的，在0.1和满分之间计算确定：得分=(105%-“三公经费”控制率)/(105%-100%)×该指标分值。</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eastAsia="zh-CN"/>
        </w:rPr>
        <w:t>。</w:t>
      </w:r>
    </w:p>
    <w:p>
      <w:pPr>
        <w:pStyle w:val="2"/>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eastAsia="zh-CN"/>
        </w:rPr>
        <w:t>）政府采购执行率指部门本年度实际政府采购金额与年初政府采购预算的比率，用以反映和考核部门政府采购预算执行情况。政府采购执行率=（实际政府采购金额/政府采购预算数）×100%。政府采购预算：采购机关根据事业发展计划和行政任务编制的、并经过规定程序批准的年度政府采购计划。注：若有采购变动，则分析其主客观原因后对其打分，原因不合理或无批复得0分。评价要点：①政府采购执行率等于100%的，得满分；</w:t>
      </w:r>
    </w:p>
    <w:p>
      <w:pPr>
        <w:pStyle w:val="2"/>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②政府采购执行率小于或等于90%的，0分；③政府采购执行率在90%-100%之间的，在0和满分之间计算确定：得分=(政府采购执行-90%)/(100%-90%)×该指标分值。</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eastAsia="zh-CN"/>
        </w:rPr>
        <w:t>。</w:t>
      </w:r>
    </w:p>
    <w:p>
      <w:pPr>
        <w:numPr>
          <w:ilvl w:val="0"/>
          <w:numId w:val="6"/>
        </w:numPr>
        <w:spacing w:line="360" w:lineRule="auto"/>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val="en-US" w:eastAsia="zh-CN"/>
        </w:rPr>
        <w:t>预算管理</w:t>
      </w:r>
      <w:r>
        <w:rPr>
          <w:rFonts w:hint="eastAsia" w:asciiTheme="minorEastAsia" w:hAnsiTheme="minorEastAsia" w:eastAsiaTheme="minorEastAsia" w:cstheme="minorEastAsia"/>
          <w:color w:val="auto"/>
          <w:sz w:val="28"/>
          <w:szCs w:val="28"/>
          <w:highlight w:val="none"/>
        </w:rPr>
        <w:t>包括内部控制与财务管理制度健全性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资金使用合规性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预决算信息公开性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基础信息完善性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绩效自评</w:t>
      </w:r>
      <w:r>
        <w:rPr>
          <w:rFonts w:hint="eastAsia" w:asciiTheme="minorEastAsia" w:hAnsiTheme="minorEastAsia" w:eastAsia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rPr>
        <w:t>个方面</w:t>
      </w:r>
      <w:r>
        <w:rPr>
          <w:rFonts w:hint="eastAsia" w:asciiTheme="minorEastAsia" w:hAnsiTheme="minorEastAsia" w:eastAsiaTheme="minorEastAsia" w:cstheme="minorEastAsia"/>
          <w:color w:val="auto"/>
          <w:sz w:val="28"/>
          <w:szCs w:val="28"/>
          <w:highlight w:val="none"/>
          <w:lang w:eastAsia="zh-CN"/>
        </w:rPr>
        <w:t>。</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内部控制与财务管理制度健全性指部门为加强预算管理、规范财务行为而制定的管理制度是否健全完整，用以反映和考核部门预算管理制度对完成主要职责或促进事业发展的保障情况。评价要点：①是否已制定或具有预算资金管理办法、内部财务管理制度、会计核算制度等管理制度；②相关管理制度是否合法、合规、完整；③相关管理制度是否得到有效执行。评价要点:</w:t>
      </w:r>
      <w:r>
        <w:rPr>
          <w:rFonts w:hint="eastAsia" w:asciiTheme="minorEastAsia" w:hAnsiTheme="minorEastAsia" w:eastAsiaTheme="minorEastAsia" w:cstheme="minorEastAsia"/>
          <w:color w:val="auto"/>
          <w:sz w:val="28"/>
          <w:szCs w:val="28"/>
          <w:highlight w:val="none"/>
          <w:lang w:eastAsia="zh-CN"/>
        </w:rPr>
        <w:t>预算资金管理办法、内部财务管理制度、会计核算制度等管理制度健全且相关管理制度是否合法、合规、完整得1分；较为健全得0.5分；制度不完备或不合规得0分。</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分。</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资金使用合规性指部门使用预算资金是否符合相关的预算财务管理制度的规定，用以反映和考核部门预算资金的规范运行情况。评价要点：①资金使用是否经过审批；②审批流程是否完备；③审批流程是否得到有效执行；④支出是否符合财务管理要求；⑤支出是否符合资金管理要求；⑥支出报销手续是否齐备；⑦支出是否符合批复用途；⑧是否存在挤占、挪用、截留、虚报冒领等虚假支出。。评价要点:</w:t>
      </w:r>
      <w:r>
        <w:rPr>
          <w:rFonts w:hint="eastAsia" w:asciiTheme="minorEastAsia" w:hAnsiTheme="minorEastAsia" w:eastAsiaTheme="minorEastAsia" w:cstheme="minorEastAsia"/>
          <w:color w:val="auto"/>
          <w:sz w:val="28"/>
          <w:szCs w:val="28"/>
          <w:highlight w:val="none"/>
          <w:lang w:eastAsia="zh-CN"/>
        </w:rPr>
        <w:t>全部符合评价要点得4分；</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eastAsia="zh-CN"/>
        </w:rPr>
        <w:t>不符合一项扣扣减标准分值的12.5%；只要出现第8条直接得0分。</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分。</w:t>
      </w:r>
    </w:p>
    <w:p>
      <w:pPr>
        <w:pStyle w:val="2"/>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lang w:eastAsia="zh-CN"/>
        </w:rPr>
        <w:t>）预决算信息公开性指部门是否按照政府信息公开有关规定公开相关预决算信息，用以反映和考核部门预决算管理的公开透明情况。评价要点：①是否按规定内容公开预决算信息；②是否按规定时限公开预决算信息。预决算信息是指与部门预算、执行、决算、监督、绩效等管理相关的信息。全部符合评价要点得0.50分，不符合一项扣减标准分值的50%。</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0.5</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eastAsia="zh-CN"/>
        </w:rPr>
        <w:t>。</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eastAsia="zh-CN"/>
        </w:rPr>
        <w:t>）基础信息完善性指部门基础信息是否完善，用以反映和考核基础信息对预算管理工作的支撑情况。评价要点：①基础数据信息和会计信息资料是否真实；②基础数据信息和会计信息资料是否完整；③基础数据信息和会计信息资料是否准确。注：请对信息完善情况做简要描述。全部符合评价要点得0.10分。不符合一项扣减标准分值的33%。</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val="en-US" w:eastAsia="zh-CN"/>
        </w:rPr>
        <w:t>.</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5）绩效自评指部门（单位）是否按照财政部关于印发项目支出绩效评价管理暂行办法的通知》（财预〔2020〕10号）、《黑龙江省财政厅关于印发《黑龙江省省级项目支出部门评价和财政评价工作操作规范（试行）的通知》。评价要点：①是否建立了绩效自评组织机构，并按自评工作程序开展。评价要点：①部门建立了绩效自评组织机构，并按自评工作程序开展自评工作，得0.3分；②在部门整体支出绩效评价共性指标体系框架基础上，结合年初预算批复及部门特点补充设计个性指标，得0.2分；③自评报告格式及内容符合红财预〔2015〕97号文要求，报送的资料包含部门自评材料的正式函件、部门整体支出绩效自评报告、附件相关资料，得1分。④未按制度或不合规得0分。</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 xml:space="preserve"> </w:t>
      </w:r>
    </w:p>
    <w:p>
      <w:pPr>
        <w:pStyle w:val="2"/>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val="en-US" w:eastAsia="zh-CN"/>
        </w:rPr>
        <w:t>3、资产管理</w:t>
      </w:r>
      <w:r>
        <w:rPr>
          <w:rFonts w:hint="eastAsia" w:asciiTheme="minorEastAsia" w:hAnsiTheme="minorEastAsia" w:eastAsiaTheme="minorEastAsia" w:cstheme="minorEastAsia"/>
          <w:color w:val="auto"/>
          <w:sz w:val="28"/>
          <w:szCs w:val="28"/>
          <w:highlight w:val="none"/>
        </w:rPr>
        <w:t>包括资产管理制度健全性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资产管理安全性</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固定资产利用率</w:t>
      </w:r>
      <w:r>
        <w:rPr>
          <w:rFonts w:hint="eastAsia" w:asciiTheme="minorEastAsia" w:hAnsiTheme="minorEastAsia" w:eastAsia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rPr>
        <w:t>个方面</w:t>
      </w:r>
      <w:r>
        <w:rPr>
          <w:rFonts w:hint="eastAsia" w:asciiTheme="minorEastAsia" w:hAnsiTheme="minorEastAsia" w:eastAsiaTheme="minorEastAsia" w:cstheme="minorEastAsia"/>
          <w:color w:val="auto"/>
          <w:sz w:val="28"/>
          <w:szCs w:val="28"/>
          <w:highlight w:val="none"/>
          <w:lang w:eastAsia="zh-CN"/>
        </w:rPr>
        <w:t>。</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eastAsia="zh-CN"/>
        </w:rPr>
        <w:t>）资产管理安全性指部门为加强资产管理、规范资产管理行为而制定的管理制度是否健全完整，用以反映和考核部门资产管理制度对完成主要职责或促进社会发展的保障情况。评价要点：评价要点：①是否已制定或具有资产管理制度；②相关资金管理制度是否合法、合规、完整；③相关资产管理制度是否得到有效执行。全部符合评价要点得0.80分，不符合一项扣减标准分值的33%。该项指标得</w:t>
      </w:r>
      <w:r>
        <w:rPr>
          <w:rFonts w:hint="eastAsia" w:asciiTheme="minorEastAsia" w:hAnsiTheme="minorEastAsia" w:eastAsiaTheme="minorEastAsia" w:cstheme="minorEastAsia"/>
          <w:color w:val="auto"/>
          <w:sz w:val="28"/>
          <w:szCs w:val="28"/>
          <w:highlight w:val="none"/>
          <w:lang w:val="en-US" w:eastAsia="zh-CN"/>
        </w:rPr>
        <w:t>0.8分。</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资产管理安全性指部门的资产是否保存完整、使用合规、配置合理、处置规范、收入及时足额上缴，用以反映和考核部门资产安全运行情况。评价要点：①资产保存是否完整；②资产配置是否合理；③资产处置是否规范；④资产是否有偿使用及处置收入及时足额上缴；⑤资产账务管理是否合规，是否账实相符。全部符合评价要点得2分；不符合一项扣减标准分值的20%。</w:t>
      </w:r>
      <w:bookmarkStart w:id="70" w:name="_Toc16960"/>
      <w:r>
        <w:rPr>
          <w:rFonts w:hint="eastAsia" w:asciiTheme="minorEastAsia" w:hAnsiTheme="minorEastAsia" w:eastAsiaTheme="minorEastAsia" w:cstheme="minorEastAsia"/>
          <w:color w:val="auto"/>
          <w:sz w:val="28"/>
          <w:szCs w:val="28"/>
          <w:highlight w:val="none"/>
          <w:lang w:val="en-US" w:eastAsia="zh-CN"/>
        </w:rPr>
        <w:t>该项指标得2分。</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固定资产利用率指部门实际在用固定资产总额与所有固定资产总额的比率，用以反映和考核部门固定资产使用效率程度。固定资产利用率=（实际在用固定资产总额/所有固定资产总额）×100%。评价要点：①固定资产利用率大于或等于95%的，得满分；②固定资产利用率小于或等于85%的，得0分；③固定资产利用率在85%-95%之间的，在0和满分之间计算确定：得分=(部门固定资产利用率-85%)/(95%-85%)×该指标分值。该项指标得1.2分。</w:t>
      </w:r>
    </w:p>
    <w:p>
      <w:pPr>
        <w:pStyle w:val="2"/>
        <w:ind w:firstLine="562" w:firstLineChars="200"/>
        <w:outlineLvl w:val="1"/>
        <w:rPr>
          <w:rFonts w:hint="eastAsia" w:asciiTheme="minorEastAsia" w:hAnsiTheme="minorEastAsia" w:eastAsiaTheme="minorEastAsia" w:cstheme="minorEastAsia"/>
          <w:b/>
          <w:bCs/>
          <w:color w:val="auto"/>
          <w:sz w:val="28"/>
          <w:szCs w:val="28"/>
          <w:highlight w:val="none"/>
        </w:rPr>
      </w:pPr>
      <w:bookmarkStart w:id="71" w:name="_Toc23696"/>
      <w:r>
        <w:rPr>
          <w:rFonts w:hint="eastAsia" w:asciiTheme="minorEastAsia" w:hAnsiTheme="minorEastAsia" w:eastAsiaTheme="minorEastAsia" w:cstheme="minorEastAsia"/>
          <w:b/>
          <w:bCs/>
          <w:color w:val="auto"/>
          <w:sz w:val="28"/>
          <w:szCs w:val="28"/>
          <w:highlight w:val="none"/>
        </w:rPr>
        <w:t>（三）</w:t>
      </w:r>
      <w:r>
        <w:rPr>
          <w:rFonts w:hint="eastAsia" w:asciiTheme="minorEastAsia" w:hAnsiTheme="minorEastAsia" w:eastAsiaTheme="minorEastAsia" w:cstheme="minorEastAsia"/>
          <w:b/>
          <w:bCs/>
          <w:color w:val="auto"/>
          <w:sz w:val="28"/>
          <w:szCs w:val="28"/>
          <w:highlight w:val="none"/>
          <w:lang w:eastAsia="zh-CN"/>
        </w:rPr>
        <w:t>产出</w:t>
      </w:r>
      <w:r>
        <w:rPr>
          <w:rFonts w:hint="eastAsia" w:asciiTheme="minorEastAsia" w:hAnsiTheme="minorEastAsia" w:eastAsiaTheme="minorEastAsia" w:cstheme="minorEastAsia"/>
          <w:b/>
          <w:bCs/>
          <w:color w:val="auto"/>
          <w:sz w:val="28"/>
          <w:szCs w:val="28"/>
          <w:highlight w:val="none"/>
        </w:rPr>
        <w:t>情况</w:t>
      </w:r>
      <w:bookmarkEnd w:id="70"/>
      <w:bookmarkEnd w:id="71"/>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eastAsia="zh-CN"/>
        </w:rPr>
        <w:t>产出</w:t>
      </w:r>
      <w:r>
        <w:rPr>
          <w:rFonts w:hint="eastAsia" w:asciiTheme="minorEastAsia" w:hAnsiTheme="minorEastAsia" w:eastAsiaTheme="minorEastAsia" w:cstheme="minorEastAsia"/>
          <w:color w:val="auto"/>
          <w:sz w:val="28"/>
          <w:szCs w:val="28"/>
          <w:highlight w:val="none"/>
        </w:rPr>
        <w:t>情况</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设立一级指标1个，权重</w:t>
      </w:r>
      <w:r>
        <w:rPr>
          <w:rFonts w:hint="eastAsia" w:asciiTheme="minorEastAsia" w:hAnsiTheme="minorEastAsia" w:eastAsiaTheme="minorEastAsia" w:cstheme="minorEastAsia"/>
          <w:color w:val="auto"/>
          <w:sz w:val="28"/>
          <w:szCs w:val="28"/>
          <w:highlight w:val="none"/>
          <w:lang w:val="en-US" w:eastAsia="zh-CN"/>
        </w:rPr>
        <w:t>35</w:t>
      </w:r>
      <w:r>
        <w:rPr>
          <w:rFonts w:hint="eastAsia" w:asciiTheme="minorEastAsia" w:hAnsiTheme="minorEastAsia" w:eastAsiaTheme="minorEastAsia" w:cstheme="minorEastAsia"/>
          <w:color w:val="auto"/>
          <w:sz w:val="28"/>
          <w:szCs w:val="28"/>
          <w:highlight w:val="none"/>
        </w:rPr>
        <w:t>，二级指标</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个，</w:t>
      </w:r>
      <w:r>
        <w:rPr>
          <w:rFonts w:hint="eastAsia" w:asciiTheme="minorEastAsia" w:hAnsiTheme="minorEastAsia" w:eastAsiaTheme="minorEastAsia" w:cstheme="minorEastAsia"/>
          <w:color w:val="auto"/>
          <w:sz w:val="28"/>
          <w:szCs w:val="28"/>
          <w:highlight w:val="none"/>
          <w:lang w:val="en-US" w:eastAsia="zh-CN"/>
        </w:rPr>
        <w:t>分别</w:t>
      </w:r>
      <w:r>
        <w:rPr>
          <w:rFonts w:hint="eastAsia" w:asciiTheme="minorEastAsia" w:hAnsiTheme="minorEastAsia" w:eastAsiaTheme="minorEastAsia" w:cstheme="minorEastAsia"/>
          <w:color w:val="auto"/>
          <w:sz w:val="28"/>
          <w:szCs w:val="28"/>
          <w:highlight w:val="none"/>
        </w:rPr>
        <w:t>为重点工作</w:t>
      </w:r>
      <w:r>
        <w:rPr>
          <w:rFonts w:hint="eastAsia" w:asciiTheme="minorEastAsia" w:hAnsiTheme="minorEastAsia" w:eastAsiaTheme="minorEastAsia" w:cstheme="minorEastAsia"/>
          <w:color w:val="auto"/>
          <w:sz w:val="28"/>
          <w:szCs w:val="28"/>
          <w:highlight w:val="none"/>
          <w:lang w:val="en-US" w:eastAsia="zh-CN"/>
        </w:rPr>
        <w:t>，权重20</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职责履行，权重</w:t>
      </w:r>
      <w:r>
        <w:rPr>
          <w:rFonts w:hint="eastAsia" w:asciiTheme="minorEastAsia" w:hAnsiTheme="minorEastAsia" w:eastAsia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rPr>
        <w:t>三级指标</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个，分别为安邦河流域水环境综合整治</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10；</w:t>
      </w:r>
      <w:r>
        <w:rPr>
          <w:rFonts w:hint="eastAsia" w:asciiTheme="minorEastAsia" w:hAnsiTheme="minorEastAsia" w:eastAsiaTheme="minorEastAsia" w:cstheme="minorEastAsia"/>
          <w:color w:val="auto"/>
          <w:sz w:val="28"/>
          <w:szCs w:val="28"/>
          <w:highlight w:val="none"/>
        </w:rPr>
        <w:t>寒葱沟水库水源地生态拦截坝清淤</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10；</w:t>
      </w:r>
      <w:r>
        <w:rPr>
          <w:rFonts w:hint="eastAsia" w:asciiTheme="minorEastAsia" w:hAnsiTheme="minorEastAsia" w:eastAsiaTheme="minorEastAsia" w:cstheme="minorEastAsia"/>
          <w:color w:val="auto"/>
          <w:sz w:val="28"/>
          <w:szCs w:val="28"/>
          <w:highlight w:val="none"/>
        </w:rPr>
        <w:t>执行项目完成率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7.5；</w:t>
      </w:r>
      <w:r>
        <w:rPr>
          <w:rFonts w:hint="eastAsia" w:asciiTheme="minorEastAsia" w:hAnsiTheme="minorEastAsia" w:eastAsiaTheme="minorEastAsia" w:cstheme="minorEastAsia"/>
          <w:color w:val="auto"/>
          <w:sz w:val="28"/>
          <w:szCs w:val="28"/>
          <w:highlight w:val="none"/>
        </w:rPr>
        <w:t>执行项目完成及时率</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7.5</w:t>
      </w:r>
      <w:r>
        <w:rPr>
          <w:rFonts w:hint="eastAsia" w:asciiTheme="minorEastAsia" w:hAnsiTheme="minorEastAsia" w:eastAsiaTheme="minorEastAsia" w:cstheme="minorEastAsia"/>
          <w:color w:val="auto"/>
          <w:sz w:val="28"/>
          <w:szCs w:val="28"/>
          <w:highlight w:val="none"/>
        </w:rPr>
        <w:t>。</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1、重点工作包括安邦河流域水环境综合整治</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寒葱沟水库水源地生态拦截坝清淤</w:t>
      </w:r>
      <w:r>
        <w:rPr>
          <w:rFonts w:hint="eastAsia" w:asciiTheme="minorEastAsia" w:hAnsiTheme="minorEastAsia" w:eastAsiaTheme="minorEastAsia" w:cstheme="minorEastAsia"/>
          <w:color w:val="auto"/>
          <w:sz w:val="28"/>
          <w:szCs w:val="28"/>
          <w:highlight w:val="none"/>
          <w:lang w:eastAsia="zh-CN"/>
        </w:rPr>
        <w:t>二</w:t>
      </w:r>
      <w:r>
        <w:rPr>
          <w:rFonts w:hint="eastAsia" w:asciiTheme="minorEastAsia" w:hAnsiTheme="minorEastAsia" w:eastAsiaTheme="minorEastAsia" w:cstheme="minorEastAsia"/>
          <w:color w:val="auto"/>
          <w:sz w:val="28"/>
          <w:szCs w:val="28"/>
          <w:highlight w:val="none"/>
        </w:rPr>
        <w:t>个方面</w:t>
      </w:r>
      <w:r>
        <w:rPr>
          <w:rFonts w:hint="eastAsia" w:asciiTheme="minorEastAsia" w:hAnsiTheme="minorEastAsia" w:eastAsiaTheme="minorEastAsia" w:cstheme="minorEastAsia"/>
          <w:color w:val="auto"/>
          <w:sz w:val="28"/>
          <w:szCs w:val="28"/>
          <w:highlight w:val="none"/>
          <w:lang w:eastAsia="zh-CN"/>
        </w:rPr>
        <w:t>。</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（1）安邦河流域水环境综合整治指以反映部门（单位）对基础设施建设工作开展情况。评价要点：</w:t>
      </w:r>
      <w:r>
        <w:rPr>
          <w:rFonts w:hint="eastAsia" w:asciiTheme="minorEastAsia" w:hAnsiTheme="minorEastAsia" w:eastAsiaTheme="minorEastAsia" w:cstheme="minorEastAsia"/>
          <w:b w:val="0"/>
          <w:bCs w:val="0"/>
          <w:color w:val="auto"/>
          <w:sz w:val="28"/>
          <w:szCs w:val="28"/>
          <w:highlight w:val="none"/>
          <w:lang w:eastAsia="zh-CN"/>
        </w:rPr>
        <w:t>①制定项目实施方案，得2分，否则本项得0分；②进行进行指导、监督检查，得2分，否则不得分；③进行质量控制，得2分，否则本项得0分；④完成情况得2分。</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10</w:t>
      </w:r>
      <w:r>
        <w:rPr>
          <w:rFonts w:hint="eastAsia" w:asciiTheme="minorEastAsia" w:hAnsiTheme="minorEastAsia" w:eastAsiaTheme="minorEastAsia" w:cstheme="minorEastAsia"/>
          <w:color w:val="auto"/>
          <w:sz w:val="28"/>
          <w:szCs w:val="28"/>
          <w:highlight w:val="none"/>
        </w:rPr>
        <w:t>分。</w:t>
      </w:r>
    </w:p>
    <w:p>
      <w:pPr>
        <w:pStyle w:val="2"/>
        <w:ind w:firstLine="560" w:firstLineChars="200"/>
        <w:rPr>
          <w:rFonts w:hint="eastAsia" w:eastAsiaTheme="minorEastAsia"/>
          <w:color w:val="auto"/>
          <w:lang w:eastAsia="zh-CN"/>
        </w:rPr>
      </w:pP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lang w:eastAsia="zh-CN"/>
        </w:rPr>
        <w:t>）寒葱沟水库水源地生态拦截坝清淤指用以反映部门（单位）对基础设施建设工作开展情况。评价要点：①制定项目实施方案，得3分，否则本项得0分；②进行招投标管理，得2分，否则不得分；③进行质量验收，得2分，否则本项得0分；④完成得3分，否则按未完成比例扣分。⑤档案管理规范、完整得1分。</w:t>
      </w:r>
      <w:r>
        <w:rPr>
          <w:rFonts w:hint="eastAsia" w:asciiTheme="minorEastAsia" w:hAnsiTheme="minorEastAsia" w:eastAsiaTheme="minorEastAsia" w:cstheme="minorEastAsia"/>
          <w:color w:val="auto"/>
          <w:sz w:val="28"/>
          <w:szCs w:val="28"/>
          <w:highlight w:val="none"/>
        </w:rPr>
        <w:t>该项指标得</w:t>
      </w:r>
      <w:r>
        <w:rPr>
          <w:rFonts w:hint="eastAsia" w:asciiTheme="minorEastAsia" w:hAnsiTheme="minorEastAsia" w:eastAsiaTheme="minorEastAsia" w:cstheme="minorEastAsia"/>
          <w:color w:val="auto"/>
          <w:sz w:val="28"/>
          <w:szCs w:val="28"/>
          <w:highlight w:val="none"/>
          <w:lang w:val="en-US" w:eastAsia="zh-CN"/>
        </w:rPr>
        <w:t>10</w:t>
      </w:r>
      <w:r>
        <w:rPr>
          <w:rFonts w:hint="eastAsia" w:asciiTheme="minorEastAsia" w:hAnsiTheme="minorEastAsia" w:eastAsiaTheme="minorEastAsia" w:cstheme="minorEastAsia"/>
          <w:color w:val="auto"/>
          <w:sz w:val="28"/>
          <w:szCs w:val="28"/>
          <w:highlight w:val="none"/>
        </w:rPr>
        <w:t>分</w:t>
      </w:r>
      <w:r>
        <w:rPr>
          <w:rFonts w:hint="eastAsia" w:asciiTheme="minorEastAsia" w:hAnsiTheme="minorEastAsia" w:eastAsiaTheme="minorEastAsia" w:cstheme="minorEastAsia"/>
          <w:color w:val="auto"/>
          <w:sz w:val="28"/>
          <w:szCs w:val="28"/>
          <w:highlight w:val="none"/>
          <w:lang w:eastAsia="zh-CN"/>
        </w:rPr>
        <w:t>。</w:t>
      </w:r>
    </w:p>
    <w:p>
      <w:pPr>
        <w:spacing w:line="360" w:lineRule="auto"/>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职责履行包括执行项目完成率、执行项目完成及时率二个方面</w:t>
      </w:r>
      <w:r>
        <w:rPr>
          <w:rFonts w:hint="eastAsia" w:asciiTheme="minorEastAsia" w:hAnsiTheme="minorEastAsia" w:eastAsiaTheme="minorEastAsia" w:cstheme="minorEastAsia"/>
          <w:color w:val="auto"/>
          <w:sz w:val="28"/>
          <w:szCs w:val="28"/>
          <w:highlight w:val="none"/>
          <w:lang w:eastAsia="zh-CN"/>
        </w:rPr>
        <w:t>。</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执行项目完成率指</w:t>
      </w:r>
      <w:r>
        <w:rPr>
          <w:rFonts w:hint="eastAsia" w:asciiTheme="minorEastAsia" w:hAnsiTheme="minorEastAsia" w:eastAsiaTheme="minorEastAsia" w:cstheme="minorEastAsia"/>
          <w:color w:val="auto"/>
          <w:sz w:val="28"/>
          <w:szCs w:val="28"/>
          <w:highlight w:val="none"/>
        </w:rPr>
        <w:t xml:space="preserve">部门履行职责而实际完成项目数与计划项目数的比率，用以反映和考核部门履职工作任务目标的实现程度。                           </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执行项目完成率=（实际完成项目数/计划执行项目数）×100%。</w:t>
      </w:r>
    </w:p>
    <w:p>
      <w:pPr>
        <w:spacing w:line="360" w:lineRule="auto"/>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实际完成项目数：部门整体绩效目标确定的一定时期（年度或规划期）内实际完成项目的数量，以及项目一定时期（年度或规划期）内实际完成项目数量。评价要点得分=完成率×该指标分值。该项指标得</w:t>
      </w:r>
      <w:r>
        <w:rPr>
          <w:rFonts w:hint="eastAsia" w:asciiTheme="minorEastAsia" w:hAnsiTheme="minorEastAsia" w:eastAsiaTheme="minorEastAsia" w:cstheme="minorEastAsia"/>
          <w:color w:val="auto"/>
          <w:sz w:val="28"/>
          <w:szCs w:val="28"/>
          <w:highlight w:val="none"/>
          <w:lang w:val="en-US" w:eastAsia="zh-CN"/>
        </w:rPr>
        <w:t>7.5</w:t>
      </w:r>
      <w:r>
        <w:rPr>
          <w:rFonts w:hint="eastAsia" w:asciiTheme="minorEastAsia" w:hAnsiTheme="minorEastAsia" w:eastAsiaTheme="minorEastAsia" w:cstheme="minorEastAsia"/>
          <w:color w:val="auto"/>
          <w:sz w:val="28"/>
          <w:szCs w:val="28"/>
          <w:highlight w:val="none"/>
        </w:rPr>
        <w:t>分。</w:t>
      </w:r>
    </w:p>
    <w:p>
      <w:pPr>
        <w:pStyle w:val="2"/>
        <w:ind w:firstLine="560" w:firstLineChars="200"/>
        <w:rPr>
          <w:rFonts w:hint="default" w:asciiTheme="minorEastAsia" w:hAnsiTheme="minorEastAsia" w:eastAsiaTheme="minorEastAsia" w:cstheme="minorEastAsia"/>
          <w:color w:val="auto"/>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lang w:val="en-US" w:eastAsia="zh-CN" w:bidi="ar-SA"/>
        </w:rPr>
        <w:t>（2）执行项目完成及时率指完成及时率=(及时完成项目数/计划执行项目数)×100%。评价要点：得分=完成及时率×该指标分值。该项指标得7.5分。</w:t>
      </w:r>
    </w:p>
    <w:p>
      <w:pPr>
        <w:pStyle w:val="2"/>
        <w:keepNext w:val="0"/>
        <w:keepLines w:val="0"/>
        <w:pageBreakBefore w:val="0"/>
        <w:widowControl w:val="0"/>
        <w:kinsoku/>
        <w:wordWrap/>
        <w:overflowPunct w:val="0"/>
        <w:topLinePunct w:val="0"/>
        <w:autoSpaceDE w:val="0"/>
        <w:autoSpaceDN w:val="0"/>
        <w:bidi w:val="0"/>
        <w:adjustRightInd w:val="0"/>
        <w:snapToGrid/>
        <w:ind w:firstLine="562" w:firstLineChars="200"/>
        <w:textAlignment w:val="baseline"/>
        <w:rPr>
          <w:rFonts w:hint="eastAsia" w:asciiTheme="minorEastAsia" w:hAnsiTheme="minorEastAsia" w:eastAsiaTheme="minorEastAsia" w:cstheme="minorEastAsia"/>
          <w:b/>
          <w:bCs/>
          <w:color w:val="auto"/>
          <w:sz w:val="28"/>
          <w:szCs w:val="28"/>
          <w:highlight w:val="none"/>
          <w:lang w:val="en-US" w:eastAsia="zh-CN" w:bidi="ar-SA"/>
        </w:rPr>
      </w:pPr>
      <w:r>
        <w:rPr>
          <w:rFonts w:hint="eastAsia" w:asciiTheme="minorEastAsia" w:hAnsiTheme="minorEastAsia" w:eastAsiaTheme="minorEastAsia" w:cstheme="minorEastAsia"/>
          <w:b/>
          <w:bCs/>
          <w:color w:val="auto"/>
          <w:sz w:val="28"/>
          <w:szCs w:val="28"/>
          <w:highlight w:val="none"/>
          <w:lang w:val="en-US" w:eastAsia="zh-CN" w:bidi="ar-SA"/>
        </w:rPr>
        <w:t>（四）效益情况</w:t>
      </w:r>
    </w:p>
    <w:p>
      <w:pPr>
        <w:pStyle w:val="2"/>
        <w:keepNext w:val="0"/>
        <w:keepLines w:val="0"/>
        <w:pageBreakBefore w:val="0"/>
        <w:widowControl w:val="0"/>
        <w:kinsoku/>
        <w:wordWrap/>
        <w:overflowPunct w:val="0"/>
        <w:topLinePunct w:val="0"/>
        <w:autoSpaceDE w:val="0"/>
        <w:autoSpaceDN w:val="0"/>
        <w:bidi w:val="0"/>
        <w:adjustRightInd w:val="0"/>
        <w:snapToGrid/>
        <w:ind w:firstLine="560" w:firstLineChars="200"/>
        <w:textAlignment w:val="baseline"/>
        <w:rPr>
          <w:rFonts w:hint="eastAsia" w:asciiTheme="minorEastAsia" w:hAnsiTheme="minorEastAsia" w:eastAsiaTheme="minorEastAsia" w:cstheme="minorEastAsia"/>
          <w:b/>
          <w:bCs/>
          <w:color w:val="auto"/>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lang w:val="en-US" w:eastAsia="zh-CN"/>
        </w:rPr>
        <w:t>效益</w:t>
      </w:r>
      <w:r>
        <w:rPr>
          <w:rFonts w:hint="eastAsia" w:asciiTheme="minorEastAsia" w:hAnsiTheme="minorEastAsia" w:eastAsiaTheme="minorEastAsia" w:cstheme="minorEastAsia"/>
          <w:color w:val="auto"/>
          <w:sz w:val="28"/>
          <w:szCs w:val="28"/>
          <w:highlight w:val="none"/>
        </w:rPr>
        <w:t>情况</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设立一级指标1个，权重</w:t>
      </w:r>
      <w:r>
        <w:rPr>
          <w:rFonts w:hint="eastAsia" w:asciiTheme="minorEastAsia" w:hAnsiTheme="minorEastAsia" w:eastAsiaTheme="minorEastAsia" w:cstheme="minorEastAsia"/>
          <w:color w:val="auto"/>
          <w:sz w:val="28"/>
          <w:szCs w:val="28"/>
          <w:highlight w:val="none"/>
          <w:lang w:val="en-US" w:eastAsia="zh-CN"/>
        </w:rPr>
        <w:t>30</w:t>
      </w:r>
      <w:r>
        <w:rPr>
          <w:rFonts w:hint="eastAsia" w:asciiTheme="minorEastAsia" w:hAnsiTheme="minorEastAsia" w:eastAsiaTheme="minorEastAsia" w:cstheme="minorEastAsia"/>
          <w:color w:val="auto"/>
          <w:sz w:val="28"/>
          <w:szCs w:val="28"/>
          <w:highlight w:val="none"/>
        </w:rPr>
        <w:t>，二级指标</w:t>
      </w: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个，</w:t>
      </w:r>
      <w:r>
        <w:rPr>
          <w:rFonts w:hint="eastAsia" w:asciiTheme="minorEastAsia" w:hAnsiTheme="minorEastAsia" w:eastAsiaTheme="minorEastAsia" w:cstheme="minorEastAsia"/>
          <w:color w:val="auto"/>
          <w:sz w:val="28"/>
          <w:szCs w:val="28"/>
          <w:highlight w:val="none"/>
          <w:lang w:val="en-US" w:eastAsia="zh-CN"/>
        </w:rPr>
        <w:t>分别</w:t>
      </w:r>
      <w:r>
        <w:rPr>
          <w:rFonts w:hint="eastAsia" w:asciiTheme="minorEastAsia" w:hAnsiTheme="minorEastAsia" w:eastAsiaTheme="minorEastAsia" w:cstheme="minorEastAsia"/>
          <w:color w:val="auto"/>
          <w:sz w:val="28"/>
          <w:szCs w:val="28"/>
          <w:highlight w:val="none"/>
        </w:rPr>
        <w:t>为</w:t>
      </w:r>
      <w:r>
        <w:rPr>
          <w:rFonts w:hint="eastAsia" w:asciiTheme="minorEastAsia" w:hAnsiTheme="minorEastAsia" w:eastAsiaTheme="minorEastAsia" w:cstheme="minorEastAsia"/>
          <w:color w:val="auto"/>
          <w:sz w:val="28"/>
          <w:szCs w:val="28"/>
          <w:highlight w:val="none"/>
          <w:lang w:val="en-US" w:eastAsia="zh-CN" w:bidi="ar-SA"/>
        </w:rPr>
        <w:t>社会效益</w:t>
      </w:r>
      <w:r>
        <w:rPr>
          <w:rFonts w:hint="eastAsia" w:asciiTheme="minorEastAsia" w:hAnsiTheme="minorEastAsia" w:eastAsiaTheme="minorEastAsia" w:cstheme="minorEastAsia"/>
          <w:color w:val="auto"/>
          <w:sz w:val="28"/>
          <w:szCs w:val="28"/>
          <w:highlight w:val="none"/>
          <w:lang w:val="en-US" w:eastAsia="zh-CN"/>
        </w:rPr>
        <w:t>，权重14.4</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bidi="ar-SA"/>
        </w:rPr>
        <w:t>经济效益</w:t>
      </w:r>
      <w:r>
        <w:rPr>
          <w:rFonts w:hint="eastAsia" w:asciiTheme="minorEastAsia" w:hAnsiTheme="minorEastAsia" w:eastAsiaTheme="minorEastAsia" w:cstheme="minorEastAsia"/>
          <w:color w:val="auto"/>
          <w:sz w:val="28"/>
          <w:szCs w:val="28"/>
          <w:highlight w:val="none"/>
        </w:rPr>
        <w:t>，权重</w:t>
      </w:r>
      <w:r>
        <w:rPr>
          <w:rFonts w:hint="eastAsia" w:asciiTheme="minorEastAsia" w:hAnsiTheme="minorEastAsia" w:eastAsiaTheme="minorEastAsia" w:cstheme="minorEastAsia"/>
          <w:color w:val="auto"/>
          <w:sz w:val="28"/>
          <w:szCs w:val="28"/>
          <w:highlight w:val="none"/>
          <w:lang w:val="en-US" w:eastAsia="zh-CN"/>
        </w:rPr>
        <w:t>3.6。满意度，权重12。</w:t>
      </w:r>
      <w:r>
        <w:rPr>
          <w:rFonts w:hint="eastAsia" w:asciiTheme="minorEastAsia" w:hAnsiTheme="minorEastAsia" w:eastAsiaTheme="minorEastAsia" w:cstheme="minorEastAsia"/>
          <w:color w:val="auto"/>
          <w:sz w:val="28"/>
          <w:szCs w:val="28"/>
          <w:highlight w:val="none"/>
        </w:rPr>
        <w:t>三级指标</w:t>
      </w:r>
      <w:r>
        <w:rPr>
          <w:rFonts w:hint="eastAsia" w:asciiTheme="minorEastAsia" w:hAnsiTheme="minorEastAsia" w:eastAsiaTheme="minorEastAsia" w:cstheme="minorEastAsia"/>
          <w:color w:val="auto"/>
          <w:sz w:val="28"/>
          <w:szCs w:val="28"/>
          <w:highlight w:val="none"/>
          <w:lang w:val="en-US" w:eastAsia="zh-CN"/>
        </w:rPr>
        <w:t>7</w:t>
      </w:r>
      <w:r>
        <w:rPr>
          <w:rFonts w:hint="eastAsia" w:asciiTheme="minorEastAsia" w:hAnsiTheme="minorEastAsia" w:eastAsiaTheme="minorEastAsia" w:cstheme="minorEastAsia"/>
          <w:color w:val="auto"/>
          <w:sz w:val="28"/>
          <w:szCs w:val="28"/>
          <w:highlight w:val="none"/>
        </w:rPr>
        <w:t>个，分别为处理突发事件的应急处理能力有所提高</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保障群众饮水安全方面有所提高，权重</w:t>
      </w:r>
      <w:r>
        <w:rPr>
          <w:rFonts w:hint="eastAsia" w:asciiTheme="minorEastAsia" w:hAnsiTheme="minorEastAsia" w:eastAsiaTheme="minorEastAsia" w:cstheme="minorEastAsia"/>
          <w:color w:val="auto"/>
          <w:sz w:val="28"/>
          <w:szCs w:val="28"/>
          <w:highlight w:val="none"/>
          <w:lang w:val="en-US" w:eastAsia="zh-CN"/>
        </w:rPr>
        <w:t>3.6；</w:t>
      </w:r>
      <w:r>
        <w:rPr>
          <w:rFonts w:hint="eastAsia" w:asciiTheme="minorEastAsia" w:hAnsiTheme="minorEastAsia" w:eastAsiaTheme="minorEastAsia" w:cstheme="minorEastAsia"/>
          <w:color w:val="auto"/>
          <w:sz w:val="28"/>
          <w:szCs w:val="28"/>
          <w:highlight w:val="none"/>
        </w:rPr>
        <w:t>河道、城市管网的治理，在保障群众财产安全方面得到提升，权重</w:t>
      </w:r>
      <w:r>
        <w:rPr>
          <w:rFonts w:hint="eastAsia" w:asciiTheme="minorEastAsia" w:hAnsiTheme="minorEastAsia" w:eastAsiaTheme="minorEastAsia" w:cstheme="minorEastAsia"/>
          <w:color w:val="auto"/>
          <w:sz w:val="28"/>
          <w:szCs w:val="28"/>
          <w:highlight w:val="none"/>
          <w:lang w:val="en-US" w:eastAsia="zh-CN"/>
        </w:rPr>
        <w:t>3.6；</w:t>
      </w:r>
      <w:r>
        <w:rPr>
          <w:rFonts w:hint="eastAsia" w:asciiTheme="minorEastAsia" w:hAnsiTheme="minorEastAsia" w:eastAsiaTheme="minorEastAsia" w:cstheme="minorEastAsia"/>
          <w:color w:val="auto"/>
          <w:sz w:val="28"/>
          <w:szCs w:val="28"/>
          <w:highlight w:val="none"/>
        </w:rPr>
        <w:t>改善了周边环境，提升了生活质量，权重</w:t>
      </w:r>
      <w:r>
        <w:rPr>
          <w:rFonts w:hint="eastAsia" w:asciiTheme="minorEastAsia" w:hAnsiTheme="minorEastAsia" w:eastAsiaTheme="minorEastAsia" w:cstheme="minorEastAsia"/>
          <w:color w:val="auto"/>
          <w:sz w:val="28"/>
          <w:szCs w:val="28"/>
          <w:highlight w:val="none"/>
          <w:lang w:val="en-US" w:eastAsia="zh-CN"/>
        </w:rPr>
        <w:t>3.6；</w:t>
      </w:r>
      <w:r>
        <w:rPr>
          <w:rFonts w:hint="eastAsia" w:asciiTheme="minorEastAsia" w:hAnsiTheme="minorEastAsia" w:eastAsiaTheme="minorEastAsia" w:cstheme="minorEastAsia"/>
          <w:color w:val="auto"/>
          <w:sz w:val="28"/>
          <w:szCs w:val="28"/>
          <w:highlight w:val="none"/>
        </w:rPr>
        <w:t>防汛抗旱的能力有所提高，权重</w:t>
      </w:r>
      <w:r>
        <w:rPr>
          <w:rFonts w:hint="eastAsia" w:asciiTheme="minorEastAsia" w:hAnsiTheme="minorEastAsia" w:eastAsiaTheme="minorEastAsia" w:cstheme="minorEastAsia"/>
          <w:color w:val="auto"/>
          <w:sz w:val="28"/>
          <w:szCs w:val="28"/>
          <w:highlight w:val="none"/>
          <w:lang w:val="en-US" w:eastAsia="zh-CN"/>
        </w:rPr>
        <w:t>3.6；</w:t>
      </w:r>
      <w:r>
        <w:rPr>
          <w:rFonts w:hint="eastAsia" w:asciiTheme="minorEastAsia" w:hAnsiTheme="minorEastAsia" w:eastAsiaTheme="minorEastAsia" w:cstheme="minorEastAsia"/>
          <w:color w:val="auto"/>
          <w:sz w:val="28"/>
          <w:szCs w:val="28"/>
          <w:highlight w:val="none"/>
        </w:rPr>
        <w:t>社会公众或服务对象满意度，权重</w:t>
      </w:r>
      <w:r>
        <w:rPr>
          <w:rFonts w:hint="eastAsia" w:asciiTheme="minorEastAsia" w:hAnsiTheme="minorEastAsia" w:eastAsia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rPr>
        <w:t>内部职工满意度，权重</w:t>
      </w:r>
      <w:r>
        <w:rPr>
          <w:rFonts w:hint="eastAsia" w:asciiTheme="minorEastAsia" w:hAnsiTheme="minorEastAsia" w:eastAsiaTheme="minorEastAsia" w:cstheme="minorEastAsia"/>
          <w:color w:val="auto"/>
          <w:sz w:val="28"/>
          <w:szCs w:val="28"/>
          <w:highlight w:val="none"/>
          <w:lang w:val="en-US" w:eastAsia="zh-CN"/>
        </w:rPr>
        <w:t>6。</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lang w:val="en-US" w:eastAsia="zh-CN" w:bidi="ar-SA"/>
        </w:rPr>
        <w:t>1、效果包括社会效益、满意度二个方面。</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lang w:val="en-US" w:eastAsia="zh-CN" w:bidi="ar-SA"/>
        </w:rPr>
        <w:t>（1）处理突发事件的应急处理能力有所提高、保障群众饮水安全方面有所提高、河道、城市管网的治理，在保障群众财产安全方面得到提升、改善了周边环境，提升了生活质量、防汛抗旱的能力有所提高来自问卷调查(对每一份问卷单独评分，汇总得到该项的评分分值)。评价要点：来自问卷调查(对每一份问卷单独评分，汇总得到该项的评分分值)。该项指标得18分。</w:t>
      </w:r>
    </w:p>
    <w:p>
      <w:pPr>
        <w:pStyle w:val="2"/>
        <w:ind w:firstLine="560" w:firstLineChars="200"/>
        <w:rPr>
          <w:rFonts w:hint="eastAsia" w:asciiTheme="minorEastAsia" w:hAnsiTheme="minorEastAsia" w:eastAsiaTheme="minorEastAsia" w:cstheme="minorEastAsia"/>
          <w:color w:val="auto"/>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lang w:val="en-US" w:eastAsia="zh-CN" w:bidi="ar-SA"/>
        </w:rPr>
        <w:t>（2）社会公众或服务对象、满意度</w:t>
      </w:r>
      <w:bookmarkStart w:id="107" w:name="_GoBack"/>
      <w:bookmarkEnd w:id="107"/>
      <w:r>
        <w:rPr>
          <w:rFonts w:hint="eastAsia" w:asciiTheme="minorEastAsia" w:hAnsiTheme="minorEastAsia" w:eastAsiaTheme="minorEastAsia" w:cstheme="minorEastAsia"/>
          <w:color w:val="auto"/>
          <w:sz w:val="28"/>
          <w:szCs w:val="28"/>
          <w:highlight w:val="none"/>
          <w:lang w:val="en-US" w:eastAsia="zh-CN" w:bidi="ar-SA"/>
        </w:rPr>
        <w:t>来自问卷调查(对每一份问卷单独评分，汇总得到该项的评分分值)。评价要点来自问卷调查(对每一份问卷单独评分，汇总得到该项的评分分值)。该项指标得12分。</w:t>
      </w:r>
    </w:p>
    <w:p>
      <w:pPr>
        <w:numPr>
          <w:ilvl w:val="0"/>
          <w:numId w:val="0"/>
        </w:numPr>
        <w:spacing w:line="360" w:lineRule="auto"/>
        <w:ind w:firstLine="562" w:firstLineChars="200"/>
        <w:outlineLvl w:val="0"/>
        <w:rPr>
          <w:rFonts w:hint="eastAsia" w:asciiTheme="minorEastAsia" w:hAnsiTheme="minorEastAsia" w:eastAsiaTheme="minorEastAsia" w:cstheme="minorEastAsia"/>
          <w:b/>
          <w:bCs/>
          <w:color w:val="auto"/>
          <w:sz w:val="28"/>
          <w:szCs w:val="28"/>
          <w:highlight w:val="none"/>
          <w:lang w:val="en-US" w:eastAsia="zh-CN" w:bidi="ar-SA"/>
        </w:rPr>
      </w:pPr>
      <w:bookmarkStart w:id="72" w:name="_Toc2212"/>
      <w:bookmarkStart w:id="73" w:name="_Toc19483"/>
      <w:bookmarkStart w:id="74" w:name="_Toc23815"/>
      <w:r>
        <w:rPr>
          <w:rFonts w:hint="eastAsia" w:asciiTheme="minorEastAsia" w:hAnsiTheme="minorEastAsia" w:eastAsiaTheme="minorEastAsia" w:cstheme="minorEastAsia"/>
          <w:b/>
          <w:bCs/>
          <w:color w:val="auto"/>
          <w:sz w:val="28"/>
          <w:szCs w:val="28"/>
          <w:highlight w:val="none"/>
          <w:lang w:val="en-US" w:eastAsia="zh-CN" w:bidi="ar-SA"/>
        </w:rPr>
        <w:t>五、项目主要经验及做法</w:t>
      </w:r>
      <w:bookmarkEnd w:id="72"/>
      <w:bookmarkEnd w:id="73"/>
      <w:bookmarkEnd w:id="74"/>
    </w:p>
    <w:p>
      <w:pPr>
        <w:numPr>
          <w:ilvl w:val="0"/>
          <w:numId w:val="0"/>
        </w:num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lang w:val="en-US" w:eastAsia="zh-CN" w:bidi="ar-SA"/>
        </w:rPr>
        <w:t>（一）积极推进预算绩效管理工作，不断提高预算绩效管理工作的质量和水平，提高资金使用效益。</w:t>
      </w:r>
    </w:p>
    <w:p>
      <w:pPr>
        <w:numPr>
          <w:ilvl w:val="0"/>
          <w:numId w:val="0"/>
        </w:num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lang w:val="en-US" w:eastAsia="zh-CN" w:bidi="ar-SA"/>
        </w:rPr>
        <w:t>（二）实施预算项目绩效目标跟踪管理，在加强预算编制绩效管理，明确预算项目责任主体的同时，对项目绩效目标进行跟踪管理，对未能如期实现绩效目标的项目，在编制下年预算时适当调减项目资金额度。</w:t>
      </w:r>
    </w:p>
    <w:p>
      <w:pPr>
        <w:numPr>
          <w:ilvl w:val="0"/>
          <w:numId w:val="0"/>
        </w:numPr>
        <w:spacing w:line="360" w:lineRule="auto"/>
        <w:ind w:firstLine="560" w:firstLineChars="200"/>
        <w:rPr>
          <w:rFonts w:hint="default" w:asciiTheme="minorEastAsia" w:hAnsiTheme="minorEastAsia" w:eastAsiaTheme="minorEastAsia" w:cstheme="minorEastAsia"/>
          <w:color w:val="auto"/>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lang w:val="en-US" w:eastAsia="zh-CN" w:bidi="ar-SA"/>
        </w:rPr>
        <w:t>（三）积极参与市财政局或其他部门组织的各类关于绩效管理工作培训，通过多次召开行政会议强调绩效管理的理念和重要性。</w:t>
      </w:r>
    </w:p>
    <w:p>
      <w:pPr>
        <w:widowControl w:val="0"/>
        <w:numPr>
          <w:ilvl w:val="0"/>
          <w:numId w:val="7"/>
        </w:numPr>
        <w:spacing w:line="360" w:lineRule="auto"/>
        <w:ind w:firstLine="562" w:firstLineChars="200"/>
        <w:outlineLvl w:val="0"/>
        <w:rPr>
          <w:rFonts w:hint="eastAsia" w:asciiTheme="minorEastAsia" w:hAnsiTheme="minorEastAsia" w:eastAsiaTheme="minorEastAsia" w:cstheme="minorEastAsia"/>
          <w:b/>
          <w:bCs/>
          <w:color w:val="auto"/>
          <w:sz w:val="28"/>
          <w:szCs w:val="28"/>
          <w:highlight w:val="none"/>
        </w:rPr>
      </w:pPr>
      <w:bookmarkStart w:id="75" w:name="_Toc15763"/>
      <w:bookmarkStart w:id="76" w:name="_Toc32543"/>
      <w:bookmarkStart w:id="77" w:name="_Toc21536"/>
      <w:r>
        <w:rPr>
          <w:rFonts w:hint="eastAsia" w:asciiTheme="minorEastAsia" w:hAnsiTheme="minorEastAsia" w:eastAsiaTheme="minorEastAsia" w:cstheme="minorEastAsia"/>
          <w:b/>
          <w:bCs/>
          <w:color w:val="auto"/>
          <w:sz w:val="28"/>
          <w:szCs w:val="28"/>
          <w:highlight w:val="none"/>
        </w:rPr>
        <w:t>存在的问题及原因分析</w:t>
      </w:r>
      <w:bookmarkEnd w:id="75"/>
      <w:bookmarkEnd w:id="76"/>
      <w:bookmarkEnd w:id="77"/>
    </w:p>
    <w:p>
      <w:pPr>
        <w:numPr>
          <w:ilvl w:val="0"/>
          <w:numId w:val="0"/>
        </w:numPr>
        <w:spacing w:line="360" w:lineRule="auto"/>
        <w:ind w:firstLine="560" w:firstLineChars="200"/>
        <w:rPr>
          <w:rFonts w:hint="eastAsia" w:asciiTheme="minorEastAsia" w:hAnsiTheme="minorEastAsia" w:eastAsiaTheme="minorEastAsia" w:cstheme="minorEastAsia"/>
          <w:color w:val="auto"/>
          <w:sz w:val="28"/>
          <w:szCs w:val="28"/>
          <w:highlight w:val="none"/>
          <w:lang w:val="en-US" w:eastAsia="zh-CN" w:bidi="ar-SA"/>
        </w:rPr>
      </w:pPr>
      <w:r>
        <w:rPr>
          <w:rFonts w:hint="eastAsia" w:asciiTheme="minorEastAsia" w:hAnsiTheme="minorEastAsia" w:eastAsiaTheme="minorEastAsia" w:cstheme="minorEastAsia"/>
          <w:color w:val="auto"/>
          <w:sz w:val="28"/>
          <w:szCs w:val="28"/>
          <w:highlight w:val="none"/>
          <w:lang w:val="en-US" w:eastAsia="zh-CN" w:bidi="ar-SA"/>
        </w:rPr>
        <w:t>因市场环境具有不可预见性，如年初受新冠肺炎疫情的影响，年初编制的预算不够精确，指标设定还有待进一步加强。加强新《政府会计制度》等学习培训，规范部门预算收支核算，一是制定和完善基本支出、项目支出等各项支出标准，严格按项目和进度执行预算，增强预算的约束力和严肃性。二是落实绩效执行分析，及时了解绩效执行差异，合理调整、纠正绩效执行偏差，切实提高部门绩效管理水平。</w:t>
      </w:r>
    </w:p>
    <w:p>
      <w:pPr>
        <w:widowControl w:val="0"/>
        <w:numPr>
          <w:ilvl w:val="0"/>
          <w:numId w:val="7"/>
        </w:numPr>
        <w:spacing w:line="360" w:lineRule="auto"/>
        <w:ind w:left="0" w:leftChars="0" w:firstLine="562" w:firstLineChars="200"/>
        <w:outlineLvl w:val="0"/>
        <w:rPr>
          <w:rFonts w:hint="eastAsia" w:asciiTheme="minorEastAsia" w:hAnsiTheme="minorEastAsia" w:eastAsiaTheme="minorEastAsia" w:cstheme="minorEastAsia"/>
          <w:b/>
          <w:bCs/>
          <w:color w:val="auto"/>
          <w:sz w:val="28"/>
          <w:szCs w:val="28"/>
        </w:rPr>
      </w:pPr>
      <w:bookmarkStart w:id="78" w:name="_Toc1208"/>
      <w:bookmarkStart w:id="79" w:name="_Toc20400"/>
      <w:bookmarkStart w:id="80" w:name="_Toc14649"/>
      <w:r>
        <w:rPr>
          <w:rFonts w:hint="eastAsia" w:asciiTheme="minorEastAsia" w:hAnsiTheme="minorEastAsia" w:eastAsiaTheme="minorEastAsia" w:cstheme="minorEastAsia"/>
          <w:b/>
          <w:bCs/>
          <w:color w:val="auto"/>
          <w:sz w:val="28"/>
          <w:szCs w:val="28"/>
        </w:rPr>
        <w:t>意见建议</w:t>
      </w:r>
      <w:bookmarkEnd w:id="78"/>
      <w:bookmarkEnd w:id="79"/>
      <w:bookmarkEnd w:id="80"/>
    </w:p>
    <w:p>
      <w:pPr>
        <w:pStyle w:val="2"/>
        <w:numPr>
          <w:ilvl w:val="0"/>
          <w:numId w:val="0"/>
        </w:numPr>
        <w:spacing w:line="360" w:lineRule="auto"/>
        <w:ind w:firstLine="560" w:firstLineChars="200"/>
        <w:jc w:val="both"/>
        <w:outlineLvl w:val="1"/>
        <w:rPr>
          <w:rFonts w:hint="eastAsia" w:asciiTheme="minorEastAsia" w:hAnsiTheme="minorEastAsia" w:eastAsiaTheme="minorEastAsia" w:cstheme="minorEastAsia"/>
          <w:color w:val="auto"/>
          <w:sz w:val="28"/>
          <w:szCs w:val="28"/>
          <w:lang w:val="en-US" w:eastAsia="zh-CN" w:bidi="ar-SA"/>
        </w:rPr>
      </w:pPr>
      <w:bookmarkStart w:id="81" w:name="_Toc12618"/>
      <w:bookmarkStart w:id="82" w:name="_Toc525116856"/>
      <w:r>
        <w:rPr>
          <w:rFonts w:hint="eastAsia" w:asciiTheme="minorEastAsia" w:hAnsiTheme="minorEastAsia" w:eastAsiaTheme="minorEastAsia" w:cstheme="minorEastAsia"/>
          <w:color w:val="auto"/>
          <w:sz w:val="28"/>
          <w:szCs w:val="28"/>
          <w:lang w:val="en-US" w:eastAsia="zh-CN" w:bidi="ar-SA"/>
        </w:rPr>
        <w:t>（一）提升绩效目标编制质量，提高资金使用绩效</w:t>
      </w:r>
      <w:bookmarkEnd w:id="81"/>
      <w:bookmarkEnd w:id="82"/>
    </w:p>
    <w:p>
      <w:pPr>
        <w:pStyle w:val="2"/>
        <w:numPr>
          <w:ilvl w:val="0"/>
          <w:numId w:val="0"/>
        </w:numPr>
        <w:spacing w:line="360" w:lineRule="auto"/>
        <w:ind w:firstLine="560" w:firstLineChars="200"/>
        <w:jc w:val="both"/>
        <w:rPr>
          <w:rFonts w:hint="eastAsia" w:asciiTheme="minorEastAsia" w:hAnsiTheme="minorEastAsia" w:eastAsiaTheme="minorEastAsia" w:cstheme="minorEastAsia"/>
          <w:color w:val="auto"/>
          <w:sz w:val="28"/>
          <w:szCs w:val="28"/>
          <w:lang w:val="en-US" w:eastAsia="zh-CN" w:bidi="ar-SA"/>
        </w:rPr>
      </w:pPr>
      <w:r>
        <w:rPr>
          <w:rFonts w:hint="eastAsia" w:asciiTheme="minorEastAsia" w:hAnsiTheme="minorEastAsia" w:eastAsiaTheme="minorEastAsia" w:cstheme="minorEastAsia"/>
          <w:color w:val="auto"/>
          <w:sz w:val="28"/>
          <w:szCs w:val="28"/>
          <w:lang w:val="en-US" w:eastAsia="zh-CN" w:bidi="ar-SA"/>
        </w:rPr>
        <w:t>建议财政部门加强对各主管单位预算绩效理念的宣传，提升其对全过程预算绩效管理的认识。在此基础上，</w:t>
      </w:r>
      <w:r>
        <w:rPr>
          <w:rFonts w:hint="eastAsia" w:asciiTheme="minorEastAsia" w:hAnsiTheme="minorEastAsia" w:eastAsiaTheme="minorEastAsia" w:cstheme="minorEastAsia"/>
          <w:color w:val="auto"/>
          <w:sz w:val="28"/>
          <w:szCs w:val="28"/>
          <w:lang w:val="zh-CN" w:eastAsia="zh-CN" w:bidi="ar-SA"/>
        </w:rPr>
        <w:t>按照“谁申请资金，谁设定目标”的原则，</w:t>
      </w:r>
      <w:r>
        <w:rPr>
          <w:rFonts w:hint="eastAsia" w:asciiTheme="minorEastAsia" w:hAnsiTheme="minorEastAsia" w:eastAsiaTheme="minorEastAsia" w:cstheme="minorEastAsia"/>
          <w:color w:val="auto"/>
          <w:sz w:val="28"/>
          <w:szCs w:val="28"/>
          <w:lang w:val="en-US" w:eastAsia="zh-CN" w:bidi="ar-SA"/>
        </w:rPr>
        <w:t>项目单位根据年度工作计划及年度预算编制情况提出项目总目标，根据项目总目标对绩效目标进行提炼汇总进而细化分解明确、完善绩效指标。以年度绩效目标为指导，通过本年预算与项目任务的匹配性分析，确定项目在投入、过程、产出、效果四个方面的具体的、量化的、相关的、重要性与代表性相结合的指标，指导项目的具体工作内容和时间的安排与开展。</w:t>
      </w:r>
    </w:p>
    <w:p>
      <w:pPr>
        <w:pStyle w:val="2"/>
        <w:numPr>
          <w:ilvl w:val="0"/>
          <w:numId w:val="0"/>
        </w:numPr>
        <w:spacing w:line="360" w:lineRule="auto"/>
        <w:ind w:firstLine="560" w:firstLineChars="200"/>
        <w:jc w:val="both"/>
        <w:rPr>
          <w:rFonts w:hint="eastAsia" w:asciiTheme="minorEastAsia" w:hAnsiTheme="minorEastAsia" w:eastAsiaTheme="minorEastAsia" w:cstheme="minorEastAsia"/>
          <w:color w:val="auto"/>
          <w:sz w:val="28"/>
          <w:szCs w:val="28"/>
          <w:lang w:val="en-US" w:eastAsia="zh-CN" w:bidi="ar-SA"/>
        </w:rPr>
      </w:pPr>
      <w:r>
        <w:rPr>
          <w:rFonts w:hint="eastAsia" w:asciiTheme="minorEastAsia" w:hAnsiTheme="minorEastAsia" w:eastAsiaTheme="minorEastAsia" w:cstheme="minorEastAsia"/>
          <w:color w:val="auto"/>
          <w:sz w:val="28"/>
          <w:szCs w:val="28"/>
          <w:lang w:val="en-US" w:eastAsia="zh-CN" w:bidi="ar-SA"/>
        </w:rPr>
        <w:t>（二）建议预算单位进一步提高项目预算编制内容的科学性和精细化程度，并做好前期调研工作，尽可能完善预算申报的二、三级预算指标，明细内容的编制，从而可提高预算编制精准性，强化预算绩效管理。如：</w:t>
      </w:r>
      <w:r>
        <w:rPr>
          <w:rFonts w:hint="eastAsia" w:asciiTheme="minorEastAsia" w:hAnsiTheme="minorEastAsia" w:eastAsiaTheme="minorEastAsia" w:cstheme="minorEastAsia"/>
          <w:color w:val="auto"/>
          <w:sz w:val="28"/>
          <w:szCs w:val="28"/>
          <w:highlight w:val="none"/>
          <w:lang w:val="en-US" w:eastAsia="zh-CN" w:bidi="ar-SA"/>
        </w:rPr>
        <w:t>绩效目标表中的时效指标的一、二、三季度预算资金累计支出率应该项目实际实行情况设定及打分。</w:t>
      </w:r>
    </w:p>
    <w:p>
      <w:pPr>
        <w:pStyle w:val="2"/>
        <w:numPr>
          <w:ilvl w:val="0"/>
          <w:numId w:val="0"/>
        </w:numPr>
        <w:spacing w:line="360" w:lineRule="auto"/>
        <w:ind w:firstLine="560" w:firstLineChars="200"/>
        <w:jc w:val="both"/>
        <w:rPr>
          <w:rFonts w:hint="eastAsia" w:asciiTheme="minorEastAsia" w:hAnsiTheme="minorEastAsia" w:eastAsiaTheme="minorEastAsia" w:cstheme="minorEastAsia"/>
          <w:color w:val="auto"/>
          <w:sz w:val="28"/>
          <w:szCs w:val="28"/>
          <w:lang w:val="en-US" w:eastAsia="zh-CN" w:bidi="ar-SA"/>
        </w:rPr>
      </w:pPr>
      <w:r>
        <w:rPr>
          <w:rFonts w:hint="eastAsia" w:asciiTheme="minorEastAsia" w:hAnsiTheme="minorEastAsia" w:eastAsiaTheme="minorEastAsia" w:cstheme="minorEastAsia"/>
          <w:color w:val="auto"/>
          <w:sz w:val="28"/>
          <w:szCs w:val="28"/>
          <w:lang w:val="en-US" w:eastAsia="zh-CN" w:bidi="ar-SA"/>
        </w:rPr>
        <w:t>（三）建议多参加业务培训，组织相关单位人员向专业人士、专业机构学习交流，拓展工作思路。</w:t>
      </w:r>
    </w:p>
    <w:p>
      <w:pPr>
        <w:widowControl w:val="0"/>
        <w:spacing w:line="360" w:lineRule="auto"/>
        <w:ind w:firstLine="562" w:firstLineChars="200"/>
        <w:outlineLvl w:val="0"/>
        <w:rPr>
          <w:rFonts w:hint="eastAsia" w:asciiTheme="minorEastAsia" w:hAnsiTheme="minorEastAsia" w:eastAsiaTheme="minorEastAsia" w:cstheme="minorEastAsia"/>
          <w:b/>
          <w:bCs/>
          <w:color w:val="auto"/>
          <w:sz w:val="28"/>
          <w:szCs w:val="28"/>
        </w:rPr>
      </w:pPr>
      <w:bookmarkStart w:id="83" w:name="_Toc1182"/>
      <w:bookmarkStart w:id="84" w:name="_Toc21931"/>
      <w:bookmarkStart w:id="85" w:name="_Toc27448"/>
      <w:r>
        <w:rPr>
          <w:rFonts w:hint="eastAsia" w:asciiTheme="minorEastAsia" w:hAnsiTheme="minorEastAsia" w:eastAsiaTheme="minorEastAsia" w:cstheme="minorEastAsia"/>
          <w:b/>
          <w:bCs/>
          <w:color w:val="auto"/>
          <w:sz w:val="28"/>
          <w:szCs w:val="28"/>
        </w:rPr>
        <w:t>八、其他需要说明的问题</w:t>
      </w:r>
      <w:bookmarkEnd w:id="83"/>
      <w:bookmarkEnd w:id="84"/>
      <w:bookmarkEnd w:id="85"/>
    </w:p>
    <w:p>
      <w:pPr>
        <w:pStyle w:val="2"/>
        <w:numPr>
          <w:ilvl w:val="0"/>
          <w:numId w:val="0"/>
        </w:numPr>
        <w:spacing w:line="360" w:lineRule="auto"/>
        <w:ind w:firstLine="560" w:firstLineChars="200"/>
        <w:jc w:val="both"/>
        <w:outlineLvl w:val="1"/>
        <w:rPr>
          <w:rFonts w:hint="eastAsia" w:asciiTheme="minorEastAsia" w:hAnsiTheme="minorEastAsia" w:eastAsiaTheme="minorEastAsia" w:cstheme="minorEastAsia"/>
          <w:color w:val="auto"/>
          <w:sz w:val="28"/>
          <w:szCs w:val="28"/>
          <w:lang w:val="en-US" w:eastAsia="zh-CN" w:bidi="ar-SA"/>
        </w:rPr>
      </w:pPr>
      <w:bookmarkStart w:id="86" w:name="_Toc8811"/>
      <w:r>
        <w:rPr>
          <w:rFonts w:hint="eastAsia" w:asciiTheme="minorEastAsia" w:hAnsiTheme="minorEastAsia" w:eastAsiaTheme="minorEastAsia" w:cstheme="minorEastAsia"/>
          <w:color w:val="auto"/>
          <w:sz w:val="28"/>
          <w:szCs w:val="28"/>
          <w:lang w:val="en-US" w:eastAsia="zh-CN" w:bidi="ar-SA"/>
        </w:rPr>
        <w:t>(一)关于评价责任的说明</w:t>
      </w:r>
      <w:bookmarkEnd w:id="86"/>
    </w:p>
    <w:p>
      <w:pPr>
        <w:pStyle w:val="2"/>
        <w:numPr>
          <w:ilvl w:val="0"/>
          <w:numId w:val="0"/>
        </w:numPr>
        <w:spacing w:line="360" w:lineRule="auto"/>
        <w:ind w:firstLine="560" w:firstLineChars="200"/>
        <w:jc w:val="both"/>
        <w:rPr>
          <w:rFonts w:hint="eastAsia" w:asciiTheme="minorEastAsia" w:hAnsiTheme="minorEastAsia" w:eastAsiaTheme="minorEastAsia" w:cstheme="minorEastAsia"/>
          <w:color w:val="auto"/>
          <w:sz w:val="28"/>
          <w:szCs w:val="28"/>
          <w:lang w:val="en-US" w:eastAsia="zh-CN" w:bidi="ar-SA"/>
        </w:rPr>
      </w:pPr>
      <w:r>
        <w:rPr>
          <w:rFonts w:hint="eastAsia" w:asciiTheme="minorEastAsia" w:hAnsiTheme="minorEastAsia" w:eastAsiaTheme="minorEastAsia" w:cstheme="minorEastAsia"/>
          <w:color w:val="auto"/>
          <w:sz w:val="28"/>
          <w:szCs w:val="28"/>
          <w:lang w:val="en-US" w:eastAsia="zh-CN" w:bidi="ar-SA"/>
        </w:rPr>
        <w:t>被评价单位的责任是提供与形成本次绩效评价报告相关的基础工作材料和相关资金财务核算资料，并对其真实性、合法性、完整性负责。评价机构依据《项目支出绩效评价管理办法》(财预〔2020〕10号)、《双鸭山市全面实施预算绩效管理的实施方案》的通知(双政办发〔2020〕23号)等文件进行评价，选择的绩效评价程序取决于评估人员的判断，项目评价的可靠性基于相关部门和单位提供资料的全面性和准确性，评价工作组尽可能地收集更为全面、有效、准确的文件和数据，在已知信息条件下，结合应有的职业判断做出尽可能可靠的评价结论。</w:t>
      </w:r>
    </w:p>
    <w:p>
      <w:pPr>
        <w:pStyle w:val="2"/>
        <w:numPr>
          <w:ilvl w:val="0"/>
          <w:numId w:val="0"/>
        </w:numPr>
        <w:spacing w:line="360" w:lineRule="auto"/>
        <w:ind w:firstLine="560" w:firstLineChars="200"/>
        <w:jc w:val="both"/>
        <w:outlineLvl w:val="1"/>
        <w:rPr>
          <w:rFonts w:hint="eastAsia" w:asciiTheme="minorEastAsia" w:hAnsiTheme="minorEastAsia" w:eastAsiaTheme="minorEastAsia" w:cstheme="minorEastAsia"/>
          <w:color w:val="auto"/>
          <w:sz w:val="28"/>
          <w:szCs w:val="28"/>
          <w:lang w:val="en-US" w:eastAsia="zh-CN" w:bidi="ar-SA"/>
        </w:rPr>
      </w:pPr>
      <w:bookmarkStart w:id="87" w:name="_Toc16663"/>
      <w:r>
        <w:rPr>
          <w:rFonts w:hint="eastAsia" w:asciiTheme="minorEastAsia" w:hAnsiTheme="minorEastAsia" w:eastAsiaTheme="minorEastAsia" w:cstheme="minorEastAsia"/>
          <w:color w:val="auto"/>
          <w:sz w:val="28"/>
          <w:szCs w:val="28"/>
          <w:lang w:val="en-US" w:eastAsia="zh-CN" w:bidi="ar-SA"/>
        </w:rPr>
        <w:t>(二)关于影响本次绩效评价局限性的说明</w:t>
      </w:r>
      <w:bookmarkEnd w:id="87"/>
    </w:p>
    <w:p>
      <w:pPr>
        <w:pStyle w:val="2"/>
        <w:numPr>
          <w:ilvl w:val="0"/>
          <w:numId w:val="0"/>
        </w:numPr>
        <w:spacing w:line="360" w:lineRule="auto"/>
        <w:ind w:firstLine="560" w:firstLineChars="200"/>
        <w:jc w:val="both"/>
        <w:rPr>
          <w:rFonts w:hint="eastAsia" w:asciiTheme="minorEastAsia" w:hAnsiTheme="minorEastAsia" w:eastAsiaTheme="minorEastAsia" w:cstheme="minorEastAsia"/>
          <w:color w:val="auto"/>
          <w:sz w:val="28"/>
          <w:szCs w:val="28"/>
          <w:lang w:val="en-US" w:eastAsia="zh-CN" w:bidi="ar-SA"/>
        </w:rPr>
      </w:pPr>
      <w:r>
        <w:rPr>
          <w:rFonts w:hint="eastAsia" w:asciiTheme="minorEastAsia" w:hAnsiTheme="minorEastAsia" w:eastAsiaTheme="minorEastAsia" w:cstheme="minorEastAsia"/>
          <w:color w:val="auto"/>
          <w:sz w:val="28"/>
          <w:szCs w:val="28"/>
          <w:lang w:val="en-US" w:eastAsia="zh-CN" w:bidi="ar-SA"/>
        </w:rPr>
        <w:t>本次绩效评价的部分指标在具体目标值以及实际完成值量化方面存在一定难度，评价工作组本着尽可能公平、公正、合理的原则，并结合项目单位人员提供的信息和资料对相关指标进行综合评价。</w:t>
      </w:r>
    </w:p>
    <w:p>
      <w:pPr>
        <w:pStyle w:val="2"/>
        <w:numPr>
          <w:ilvl w:val="0"/>
          <w:numId w:val="0"/>
        </w:numPr>
        <w:spacing w:line="360" w:lineRule="auto"/>
        <w:ind w:firstLine="560" w:firstLineChars="200"/>
        <w:jc w:val="both"/>
        <w:outlineLvl w:val="1"/>
        <w:rPr>
          <w:rFonts w:hint="eastAsia" w:asciiTheme="minorEastAsia" w:hAnsiTheme="minorEastAsia" w:eastAsiaTheme="minorEastAsia" w:cstheme="minorEastAsia"/>
          <w:color w:val="auto"/>
          <w:sz w:val="28"/>
          <w:szCs w:val="28"/>
          <w:lang w:val="en-US" w:eastAsia="zh-CN" w:bidi="ar-SA"/>
        </w:rPr>
      </w:pPr>
      <w:bookmarkStart w:id="88" w:name="_Toc32391"/>
      <w:r>
        <w:rPr>
          <w:rFonts w:hint="eastAsia" w:asciiTheme="minorEastAsia" w:hAnsiTheme="minorEastAsia" w:eastAsiaTheme="minorEastAsia" w:cstheme="minorEastAsia"/>
          <w:color w:val="auto"/>
          <w:sz w:val="28"/>
          <w:szCs w:val="28"/>
          <w:lang w:val="en-US" w:eastAsia="zh-CN" w:bidi="ar-SA"/>
        </w:rPr>
        <w:t>(三)提示报告使用者注意事项的说明</w:t>
      </w:r>
      <w:bookmarkEnd w:id="88"/>
    </w:p>
    <w:p>
      <w:pPr>
        <w:pStyle w:val="2"/>
        <w:numPr>
          <w:ilvl w:val="0"/>
          <w:numId w:val="0"/>
        </w:numPr>
        <w:spacing w:line="360" w:lineRule="auto"/>
        <w:ind w:firstLine="560" w:firstLineChars="200"/>
        <w:jc w:val="both"/>
        <w:rPr>
          <w:rFonts w:hint="eastAsia" w:asciiTheme="minorEastAsia" w:hAnsiTheme="minorEastAsia" w:eastAsiaTheme="minorEastAsia" w:cstheme="minorEastAsia"/>
          <w:color w:val="auto"/>
          <w:sz w:val="28"/>
          <w:szCs w:val="28"/>
          <w:lang w:val="en-US" w:eastAsia="zh-CN" w:bidi="ar-SA"/>
        </w:rPr>
      </w:pPr>
      <w:r>
        <w:rPr>
          <w:rFonts w:hint="eastAsia" w:asciiTheme="minorEastAsia" w:hAnsiTheme="minorEastAsia" w:eastAsiaTheme="minorEastAsia" w:cstheme="minorEastAsia"/>
          <w:color w:val="auto"/>
          <w:sz w:val="28"/>
          <w:szCs w:val="28"/>
          <w:lang w:val="en-US" w:eastAsia="zh-CN" w:bidi="ar-SA"/>
        </w:rPr>
        <w:t>1、评价机构及评估人员与委托评价单位和被评价单位之间不存在任何特殊的、需要回避的利害关系，评价人员在评价过程中恪守了职业道德规范。</w:t>
      </w:r>
    </w:p>
    <w:p>
      <w:pPr>
        <w:pStyle w:val="2"/>
        <w:numPr>
          <w:ilvl w:val="0"/>
          <w:numId w:val="0"/>
        </w:numPr>
        <w:spacing w:line="360" w:lineRule="auto"/>
        <w:ind w:firstLine="560" w:firstLineChars="200"/>
        <w:jc w:val="both"/>
        <w:rPr>
          <w:rFonts w:hint="eastAsia" w:ascii="宋体" w:hAnsi="宋体" w:eastAsia="宋体" w:cs="宋体"/>
          <w:color w:val="auto"/>
          <w:sz w:val="32"/>
          <w:szCs w:val="32"/>
        </w:rPr>
      </w:pPr>
      <w:r>
        <w:rPr>
          <w:rFonts w:hint="eastAsia" w:asciiTheme="minorEastAsia" w:hAnsiTheme="minorEastAsia" w:eastAsiaTheme="minorEastAsia" w:cstheme="minorEastAsia"/>
          <w:color w:val="auto"/>
          <w:sz w:val="28"/>
          <w:szCs w:val="28"/>
          <w:lang w:val="en-US" w:eastAsia="zh-CN" w:bidi="ar-SA"/>
        </w:rPr>
        <w:t>2、本报告使用人对评价结果的把握应建立在对本报告所提供的有关评价结果的各项条件及说明的认真阅读和理解的基础之上</w:t>
      </w:r>
      <w:r>
        <w:rPr>
          <w:rFonts w:hint="eastAsia" w:ascii="宋体" w:hAnsi="宋体" w:eastAsia="宋体" w:cs="宋体"/>
          <w:color w:val="auto"/>
          <w:sz w:val="28"/>
          <w:szCs w:val="28"/>
        </w:rPr>
        <w:t>。</w:t>
      </w:r>
    </w:p>
    <w:p>
      <w:pPr>
        <w:pStyle w:val="17"/>
        <w:rPr>
          <w:rFonts w:hint="eastAsia"/>
          <w:color w:val="auto"/>
          <w:lang w:eastAsia="zh-CN"/>
        </w:rPr>
        <w:sectPr>
          <w:footerReference r:id="rId4" w:type="default"/>
          <w:pgSz w:w="11906" w:h="16838"/>
          <w:pgMar w:top="1134" w:right="1417" w:bottom="1134" w:left="1417" w:header="851" w:footer="992" w:gutter="0"/>
          <w:pgNumType w:start="1"/>
          <w:cols w:space="425" w:num="1"/>
          <w:docGrid w:type="lines" w:linePitch="312" w:charSpace="0"/>
        </w:sectPr>
      </w:pPr>
    </w:p>
    <w:p>
      <w:pPr>
        <w:spacing w:line="360" w:lineRule="auto"/>
        <w:outlineLvl w:val="0"/>
        <w:rPr>
          <w:rFonts w:hint="eastAsia" w:asciiTheme="minorEastAsia" w:hAnsiTheme="minorEastAsia" w:eastAsiaTheme="minorEastAsia" w:cstheme="minorEastAsia"/>
          <w:color w:val="auto"/>
          <w:sz w:val="28"/>
          <w:szCs w:val="28"/>
        </w:rPr>
      </w:pPr>
      <w:bookmarkStart w:id="89" w:name="_Toc12297"/>
      <w:bookmarkStart w:id="90" w:name="_Toc17556"/>
      <w:bookmarkStart w:id="91" w:name="_Toc13521"/>
      <w:r>
        <w:rPr>
          <w:rFonts w:hint="eastAsia" w:asciiTheme="minorEastAsia" w:hAnsiTheme="minorEastAsia" w:eastAsiaTheme="minorEastAsia" w:cstheme="minorEastAsia"/>
          <w:color w:val="auto"/>
          <w:sz w:val="28"/>
          <w:szCs w:val="28"/>
        </w:rPr>
        <w:t>附件1：绩效评价指标体系及评分标准表</w:t>
      </w:r>
      <w:bookmarkEnd w:id="89"/>
      <w:bookmarkEnd w:id="90"/>
      <w:bookmarkEnd w:id="91"/>
    </w:p>
    <w:tbl>
      <w:tblPr>
        <w:tblStyle w:val="12"/>
        <w:tblW w:w="1490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0"/>
        <w:gridCol w:w="1219"/>
        <w:gridCol w:w="1749"/>
        <w:gridCol w:w="868"/>
        <w:gridCol w:w="4829"/>
        <w:gridCol w:w="3239"/>
        <w:gridCol w:w="810"/>
        <w:gridCol w:w="11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一级指标</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二级指标 </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三级指标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权重</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指标解释及说明</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评分标准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得分</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扣分原因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决策(15分)</w:t>
            </w: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目标设定</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(6分)</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绩效目标与部门职能相符程度</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4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部门所设立的整体绩效目标依据是否充分，是否符合客观实际，用以反映和考核部门整体绩效目标与部门履职、年度工作任务的相符性情况。                                                  评价要点：                                                ①是否符合国家法律法规、国民经济和社会发展总体规划；                                                                  ②是否符合部门“三定”方案确定的职责；                    ③是否符合部门制定的中长期实施规划。                               绩效目标条目数是指单位与政府签订的年度目标责任书中的与绩效目标相关的条目数。                                                                                            </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部门设立的绩效目标与部门履行职能相符得1.5分，否则得0分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工作任务与绩效目标匹配程度</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所设立的绩效目标与年度工作任务相符得1.50分，否则得0分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目标任务分解情况</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4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部门依据整体绩效目标所设定的绩效指标是否清晰、细化、可衡量，用以反映和考核部门整体绩效目标的明细化情况。                                                       评价要点：                                                ①是否将部门整体的绩效目标细化分解为具体的工作任务。                                                                 ②是否通过清晰、可衡量的指标值予以体现。                  ③是否与部门年度的任务数或计划数相对应；                  ④是否与本年度部门预算资金相匹配。                         目标任务分解情况是指部门整体的绩效目标是否细化分解为具体的工作任务。包括：①是否分解；②分解有无遗漏。                                                                      目标任务量化情况是指绩效指标是否通过清晰、可衡量的指标值予以体现。包括：①任务是否量化可考核；②任务是否与资金匹配或有资金保障。  </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部门整体的绩效目标细化分解为具体的工作任务得1.50分，否则得0分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目标任务量化情况</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绩效指标通过清晰、可衡量的指标值予以体现得1.50分，否则得0分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预算配置</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(3分)</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部门人员编制数的确定性</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4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部门本年度实际在职人员数与编制数的比率，用以反映和考核部门对人员成本的控制程度。                                     在职人员编制数：机构编制部门核定批复的部门的人员编制数。                                                 在职人员数：部门实际在职人数，以财政部确定的部门决算编制口径为准。                                                                                在职人员控制率=（在职人员数/编制数）×100%。 </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具有机构编制部门核定的批复文件得1分，否则得0分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部门在职人员数的确定性</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0.5</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具有相关在职人员证明材料得0.5分，否则得0分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在职人员控制率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①在职人员控制率小于或等于100%的，得满分；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②在职人员控制率大于100%且小于等于110%的，得1分；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③在职人员控制率大于110%且小于等于120%的，得0.5分；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④在职人员控制率大于120%的，得0分。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支出配置(6分)</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“三公经费”金额的真实性</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4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部门本年度“三公经费”预算数与上年度“三公经费”预算数的变动比率，用以反映和考核部门对控制重点行政成本的努力程度。                                                      “三公经费”：年度预算安排的因公出国（境）费、公务车辆购置及运行费和公务招待费。                                     “三公经费”变动率=[（本年度“三公经费”总额-上年度“三公经费”总额）/上年度“三公经费”总额]×100%。                                                                          注：根据国家要求，“三公经费”原则上要求只减不增。                                                              </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具备上年度及本年度预算批复文件得1分，否则得0分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三公经费”变动率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①“三公经费”变动率小于或等于0的，得满分；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②“三公经费”变动率大于或等于10%的，得0分；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③“三公经费”变动率在0-10%之间的，在0和满分之间计算确定：</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得分=[(10%-“三公经费”变动率)/10%]×该指标分值。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重点支出安排率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部门本年度预算安排的重点项目支出与部门项目总支出的比率，用以反映和考核部门对履行主要职责或完成重点任务的保障程度。  重点支出安排率=（重点项目拨款/项目总拨款）×100%。                                                       重点项目支出：部门年度预算安排的，与本部门履职和发展密切相关、具有明显社会和经济影响、党委政府关心或社会比较关注的项目支出总额。                                                    项目总支出：部门年度预算安排的项目支出总额。</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安排率＞60%时得2.50分，每下降5%扣0.9分，扣完为止。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10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过程(20分)</w:t>
            </w: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预算执行(8分)</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预算完成率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部门本年度预算完成数与预算数的比率，用以反映和考核部门预算完成程度。                                                  预算完成率=（预算完成数/预算数）×100%。                       预算完成数：部门本年度实际完成的预算数。                       预算数：财政部门批复的本年度部门预算数。                               </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①预算完成率大于或等于95%的，得满分；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②预算完成率小于或等于70%的，得0分；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③预算完成率在70%-95%之间的，在0分和满分之间计算确定：</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得分=(预算完成率－70%)/(95%－70%)×该指标分值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预算调整率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部门本年度预算调整数与预算数的比率，用以反映和考核部门预算的调整程度。                                               预算调整率=（预算调整数/预算数）×100%。                   预算调整数：部门在本年度内涉及预算的追加、追减或结构调整的资金总和（因落实国家政策、发生不可抗力、上级部门或本级党委政府临时交办而产生的调整除外）。                                注：若有预算调整，则分析其主客观原因后对其打分，原因不合理或无批复得0分。</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①预算调整率等于0的，得满分；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②预算调整率大于0且小于等于10%的，得0.5分；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③预算调整率大于10%的，得0分；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支付进度率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部门实际支付进度与既定支付进度的比率，用以反映和考核部门预算执行的及时性和均衡性程度。                              支付进度率=（实际支付进度/既定支付进度）×100%。                实际支付进度：部门在某一时点的支出预算执行总数与年度支出预算数的比率。                                                既定支付进度：由部门在申报部门整体绩效目标时，参照序时支付进度、前三年支付进度、同级部门平均支付进度水平等确定的，在某一时点应达到的支付进度（比率）。                                      支付进度率即分季支付率（每季支付金额/当季拨款额）。</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①支付进度率大于或等于95%的，得满分；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②支付进度率小于或等于70%的，得0分；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③支付进度率在70%-95%之间的，在0分和满分之间计算确定：</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得分=(支付进度率－70%)/(95%－70%)×该指标分值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公用经费控制率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部门本年度预算安排实际支出的公用经费总额与预算安排的公用经费拨款总额的比率，用以反映和考核部门对机构运转成本的实际控制程度。                                                                                       公用经费控制率=（本年预算安排实际支出公用经费总额/预算安排公用经费拨款总额）×100%。</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①公用经费控制率小于或等于100%的，得满分；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②公用经费控制率大于或等于105%的，得0分；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③公用经费控制率在100%-105%之间的，在0和满分之间计算确定：</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得分=(105%-公用经费控制率)/(105%-100%)×该指标分值。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5"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“三公经费”控制率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部门本年度财政拨款（含项目经费）“三公经费”实际支出数与预算安排数的比率，用以反映和考核部门对“三公经费”的实际控制程度。                                                           “三公经费”控制率=（财政拨款“三公经费”实际支出数/财政拨款“三公经费”预算安排数）×100%。                                  注：若有经费变动，则分析其主客观原因后对其打分，原因不合理或无批复得0分。</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①“三公经费”控制率小于或等于100%的，得满分；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②“三公经费”控制率大于或等于105%的，得0分；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③“三公经费”控制率在100%-105%之间的，在0.1和满分之间计算确定：得分=(105%-“三公经费”控制率)/(105%-100%)×该指标分值。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政府采购执行率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部门本年度实际政府采购金额与年初政府采购预算的比率，用以反映和考核部门政府采购预算执行情况。                                     政府采购执行率=（实际政府采购金额/政府采购预算数）×100%。政府采购预算：采购机关根据事业发展计划和行政任务编制的、并经过规定程序批准的年度政府采购计划。                                                                            注：若有采购变动，则分析其主客观原因后对其打分，原因不合理或无批复得0分。</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①政府采购执行率等于100%的，得满分；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②政府采购执行率小于或等于90%的，0分；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③政府采购执行率在90%-100%之间的，在0和满分之间计算确定：得分=(政府采购执行率-90%)/(100%-90%)×该指标分值。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预算管理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(8分)</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内部控制与财务管理制度健全性</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部门为加强预算管理、规范财务行为而制定的管理制度是否健全完整，用以反映和考核部门预算管理制度对完成主要职责或促进事业发展的保障情况。                                          评价要点：                                                ①是否已制定或具有预算资金管理办法、内部财务管理制度、会计核算制度等管理制度；                                                ②相关管理制度是否合法、合规、完整；                       ③相关管理制度是否得到有效执行。</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预算资金管理办法、内部财务管理制度、会计核算制度等管理制度健全且相关管理制度是否合法、合规、完整得1分；较为健全得0.5分；制度不完备或不合规得0分。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资金使用合规性</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部门使用预算资金是否符合相关的预算财务管理制度的规定，用以反映和考核部门预算资金的规范运行情况。                     评价要点：                                                   ①资金使用是否经过审批；                                      ②审批流程是否完备；                                                  ③审批流程是否得到有效执行；                                ④支出是否符合财务管理要求；                                     ⑤支出是否符合资金管理要求；                                       ⑥支出报销手续是否齐备；                                        ⑦支出是否符合批复用途；                                           ⑧是否存在挤占、挪用、截留、虚报冒领等虚假支出。  </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全部符合评价要点得4分；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不符合一项扣扣减标准分值的12.5%；</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只要出现第8条直接得0分。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4.00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预决算信息公开性</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0.5</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部门是否按照政府信息公开有关规定公开相关预决算信息，用以反映和考核部门预决算管理的公开透明情况。                                   评价要点：                                                               ①是否按规定内容公开预决算信息；                                  ②是否按规定时限公开预决算信息。                                          预决算信息是指与部门预算、执行、决算、监督、绩效等管理相关的信息。</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全部符合评价要点得0.50分，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不符合一项扣减标准分值的50%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基础信息完善性</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部门基础信息是否完善，用以反映和考核基础信息对预算管理工作的支撑情况。评价要点：                                                ①基础数据信息和会计信息资料是否真实；                            ②基础数据信息和会计信息资料是否完整；                         ③基础数据信息和会计信息资料是否准确。                            注：请对信息完善情况做简要描述。</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全部符合评价要点得0.10分，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不符合一项扣减标准分值的33%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1"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绩效自评</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部门（单位）是否按照财政部关于印发项目支出绩效评价管理暂行办法的通知》（财预〔2020〕10号）、《黑龙江省财政厅关于印发《黑龙江省省级项目支出部门评价和财政评价工作操作规范（试行）的通知》。评价要点：</w:t>
            </w:r>
          </w:p>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①是否建立了绩效自评组织机构，并按自评工作程序开展</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①部门建立了绩效自评组织机构，并按自评工作程序开展自评工作，得0.3分；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②在部门整体支出绩效评价共性指标体系框架基础上，结合年初预算批复及部门特点补充设计个性指标，得0.2分；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③自评报告格式及内容符合红财预〔2015〕97号文要求，报送的资料包含部门自评材料的正式函件、部门整体支出绩效自评报告、附件相关资料，得1分。④未按制度或不合规得0分。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资产管理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(4分)</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资产管理制度健全性</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0.8</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部门为加强资产管理、规范资产管理行为而制定的管理制度是否健全完整，用以反映和考核部门资产管理制度对完成主要职责或促进社会发展的保障情况。评价要点：                                                               ①是否已制定或具有资产管理制度；                            ②相关资金管理制度是否合法、合规、完整；                         ③相关资产管理制度是否得到有效执行。</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全部符合评价要点得0.80分，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不符合一项扣减标准分值的33%。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0.80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资产管理安全性</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部门的资产是否保存完整、使用合规、配置合理、处置规范、收入及时足额上缴，用以反映和考核部门资产安全运行情况。                                                         评价要点：                                                           ①资产保存是否完整；                                                 ②资产配置是否合理；                                                  ③资产处置是否规范；                                                   ④资产是否有偿使用及处置收入及时足额上缴；                        ⑤资产账务管理是否合规，是否账实相符。</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全部符合评价要点得2分；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不符合一项扣减标准分值的20%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固定资产利用率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部门实际在用固定资产总额与所有固定资产总额的比率，用以反映和考核部门固定资产使用效率程度。                                 固定资产利用率=（实际在用固定资产总额/所有固定资产总额）×100%。</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①固定资产利用率大于或等于95%的，得满分；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②固定资产利用率小于或等于85%的，得0分；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③固定资产利用率在85%-95%之间的，在0和满分之间计算确定：得分=(部门固定资产利用率-85%)/(95%-85%)×该指标分值。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1.20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0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产出(35分)</w:t>
            </w: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重点工作</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（20分)</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安邦河流域水环境综合整治</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用以反映部门（单位）对基础设施建设工作开展情况。评价要点：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①是否制定项目实施方案；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②是否进行指导、监督检查；</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③是否进行质量验收；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④完成情况。                                              </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①制定项目实施方案，得2分，否则本项得0分；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②进行进行指导、监督检查，得2分，否则不得分；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③进行质量控制，得2分，否则本项得0分；                                   ④完成情况得2分。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寒葱沟水库水源地生态拦截坝清淤</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用以反映部门（单位）对基础设施建设工作开展情况。评价要点：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①是否制定项目实施方案；</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②是否进行招投标管理；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③是否进行质量验收；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④完成情况。                                              ⑤档案管理情况</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①制定项目实施方案，得3分，否则本项得0分；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②进行招投标管理，得2分，否则不得分；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③进行质量验收，得2分，否则本项得0分；；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④完成得3分，否则按未完成比例扣分。                                                ⑤档案管理规范、完整得1分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2"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职责履行</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(15分)</w:t>
            </w:r>
          </w:p>
        </w:tc>
        <w:tc>
          <w:tcPr>
            <w:tcW w:w="17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执行项目完成率</w:t>
            </w: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c>
          <w:tcPr>
            <w:tcW w:w="4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部门履行职责而实际完成项目数与计划项目数的比率，用以反映和考核部门履职工作任务目标的实现程度。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执行项目完成率=（实际完成项目数/计划执行项目数）×100%。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实际完成项目数：部门整体绩效目标确定的一定时期（年度或规划期）内实际完成项目的数量，以及项目一定时期（年度或规划期）内实际完成项目数量。 </w:t>
            </w:r>
            <w:r>
              <w:rPr>
                <w:rFonts w:hint="eastAsia" w:ascii="宋体" w:hAnsi="宋体" w:eastAsia="宋体" w:cs="宋体"/>
                <w:i w:val="0"/>
                <w:iCs w:val="0"/>
                <w:color w:val="auto"/>
                <w:kern w:val="0"/>
                <w:sz w:val="20"/>
                <w:szCs w:val="20"/>
                <w:u w:val="none"/>
                <w:lang w:val="en-US" w:eastAsia="zh-CN" w:bidi="ar"/>
              </w:rPr>
              <w:br w:type="textWrapping"/>
            </w:r>
          </w:p>
        </w:tc>
        <w:tc>
          <w:tcPr>
            <w:tcW w:w="3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得分=完成率×该指标分值。</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7.50 </w:t>
            </w:r>
          </w:p>
        </w:tc>
        <w:tc>
          <w:tcPr>
            <w:tcW w:w="1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c>
          <w:tcPr>
            <w:tcW w:w="3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执行项目完成及时率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c>
          <w:tcPr>
            <w:tcW w:w="4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完成及时率=(及时完成项目数/计划执行项目数)×100%</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得分=完成及时率×该指标分值。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7.50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0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效益(30分)</w:t>
            </w: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社会效益</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w:t>
            </w:r>
            <w:r>
              <w:rPr>
                <w:rFonts w:hint="eastAsia" w:ascii="宋体" w:hAnsi="宋体" w:cs="宋体"/>
                <w:i w:val="0"/>
                <w:iCs w:val="0"/>
                <w:color w:val="auto"/>
                <w:kern w:val="0"/>
                <w:sz w:val="20"/>
                <w:szCs w:val="20"/>
                <w:u w:val="none"/>
                <w:lang w:val="en-US" w:eastAsia="zh-CN" w:bidi="ar"/>
              </w:rPr>
              <w:t>18</w:t>
            </w:r>
            <w:r>
              <w:rPr>
                <w:rFonts w:hint="eastAsia" w:ascii="宋体" w:hAnsi="宋体" w:eastAsia="宋体" w:cs="宋体"/>
                <w:i w:val="0"/>
                <w:iCs w:val="0"/>
                <w:color w:val="auto"/>
                <w:kern w:val="0"/>
                <w:sz w:val="20"/>
                <w:szCs w:val="20"/>
                <w:u w:val="none"/>
                <w:lang w:val="en-US" w:eastAsia="zh-CN" w:bidi="ar"/>
              </w:rPr>
              <w:t>分）</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处理突发事件的应急处理能力有所提高</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4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来自问卷调查(对每一份问卷单独评分，汇总得到该项的评分分值)</w:t>
            </w:r>
          </w:p>
        </w:tc>
        <w:tc>
          <w:tcPr>
            <w:tcW w:w="3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来自问卷调查(对每一份问卷单独评分，汇总得到该项的评分分值)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3.60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保障群众饮水安全方面有所提高</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3.60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河道、城市管网的治理，在保障群众财产安全方面得到提升</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3.60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改善了周边环境，提升了生活质量</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3.53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防汛抗旱的能力有所提高</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3.60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满意度</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（12分）</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社会公众或服务对象满意度</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4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来自问卷调查(对每一份问卷单独评分，汇总得到该项的评分分值)</w:t>
            </w:r>
          </w:p>
        </w:tc>
        <w:tc>
          <w:tcPr>
            <w:tcW w:w="3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来自问卷调查(对每一份问卷单独评分，汇总得到该项的评分分值)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6.00 </w:t>
            </w:r>
          </w:p>
        </w:tc>
        <w:tc>
          <w:tcPr>
            <w:tcW w:w="1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内部职工满意度</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4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c>
          <w:tcPr>
            <w:tcW w:w="3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6.00 </w:t>
            </w:r>
          </w:p>
        </w:tc>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96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总  分</w:t>
            </w:r>
          </w:p>
        </w:tc>
        <w:tc>
          <w:tcPr>
            <w:tcW w:w="3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93.93</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bl>
    <w:p>
      <w:pPr>
        <w:spacing w:line="360" w:lineRule="auto"/>
        <w:outlineLvl w:val="9"/>
        <w:rPr>
          <w:rFonts w:hint="eastAsia" w:asciiTheme="minorEastAsia" w:hAnsiTheme="minorEastAsia" w:eastAsiaTheme="minorEastAsia" w:cstheme="minorEastAsia"/>
          <w:color w:val="auto"/>
          <w:sz w:val="28"/>
          <w:szCs w:val="28"/>
        </w:rPr>
      </w:pPr>
    </w:p>
    <w:p>
      <w:pPr>
        <w:spacing w:line="360" w:lineRule="auto"/>
        <w:jc w:val="both"/>
        <w:rPr>
          <w:rFonts w:hint="default" w:ascii="Times New Roman" w:hAnsi="Times New Roman" w:eastAsia="宋体" w:cs="Times New Roman"/>
          <w:color w:val="auto"/>
          <w:sz w:val="32"/>
          <w:szCs w:val="32"/>
        </w:rPr>
        <w:sectPr>
          <w:pgSz w:w="16838" w:h="11906" w:orient="landscape"/>
          <w:pgMar w:top="1134" w:right="1417" w:bottom="1134" w:left="1417" w:header="851" w:footer="992" w:gutter="0"/>
          <w:cols w:space="0" w:num="1"/>
          <w:docGrid w:type="lines" w:linePitch="319" w:charSpace="0"/>
        </w:sectPr>
      </w:pPr>
    </w:p>
    <w:p>
      <w:pPr>
        <w:spacing w:line="360" w:lineRule="auto"/>
        <w:outlineLvl w:val="0"/>
        <w:rPr>
          <w:rFonts w:hint="default" w:asciiTheme="minorEastAsia" w:hAnsiTheme="minorEastAsia" w:eastAsiaTheme="minorEastAsia" w:cstheme="minorEastAsia"/>
          <w:color w:val="auto"/>
          <w:sz w:val="28"/>
          <w:szCs w:val="28"/>
        </w:rPr>
      </w:pPr>
      <w:bookmarkStart w:id="92" w:name="_Toc17205"/>
      <w:bookmarkStart w:id="93" w:name="_Toc21844"/>
      <w:bookmarkStart w:id="94" w:name="_Toc18167"/>
      <w:r>
        <w:rPr>
          <w:rFonts w:hint="default" w:asciiTheme="minorEastAsia" w:hAnsiTheme="minorEastAsia" w:eastAsiaTheme="minorEastAsia" w:cstheme="minorEastAsia"/>
          <w:color w:val="auto"/>
          <w:sz w:val="28"/>
          <w:szCs w:val="28"/>
        </w:rPr>
        <w:t>附件</w:t>
      </w:r>
      <w:r>
        <w:rPr>
          <w:rFonts w:hint="eastAsia" w:asciiTheme="minorEastAsia" w:hAnsiTheme="minorEastAsia" w:eastAsiaTheme="minorEastAsia" w:cstheme="minorEastAsia"/>
          <w:color w:val="auto"/>
          <w:sz w:val="28"/>
          <w:szCs w:val="28"/>
          <w:lang w:val="en-US" w:eastAsia="zh-CN"/>
        </w:rPr>
        <w:t>2</w:t>
      </w:r>
      <w:r>
        <w:rPr>
          <w:rFonts w:hint="default" w:asciiTheme="minorEastAsia" w:hAnsiTheme="minorEastAsia" w:eastAsiaTheme="minorEastAsia" w:cstheme="minorEastAsia"/>
          <w:color w:val="auto"/>
          <w:sz w:val="28"/>
          <w:szCs w:val="28"/>
        </w:rPr>
        <w:t>：自评表</w:t>
      </w:r>
      <w:bookmarkEnd w:id="92"/>
      <w:bookmarkEnd w:id="93"/>
      <w:bookmarkEnd w:id="94"/>
    </w:p>
    <w:tbl>
      <w:tblPr>
        <w:tblStyle w:val="12"/>
        <w:tblW w:w="976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5"/>
        <w:gridCol w:w="576"/>
        <w:gridCol w:w="554"/>
        <w:gridCol w:w="1187"/>
        <w:gridCol w:w="554"/>
        <w:gridCol w:w="998"/>
        <w:gridCol w:w="1606"/>
        <w:gridCol w:w="581"/>
        <w:gridCol w:w="581"/>
        <w:gridCol w:w="581"/>
        <w:gridCol w:w="581"/>
        <w:gridCol w:w="931"/>
        <w:gridCol w:w="5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769" w:type="dxa"/>
            <w:gridSpan w:val="1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auto"/>
                <w:sz w:val="28"/>
                <w:szCs w:val="28"/>
                <w:u w:val="none"/>
              </w:rPr>
            </w:pPr>
            <w:bookmarkStart w:id="95" w:name="_Toc23508"/>
            <w:bookmarkStart w:id="96" w:name="_Toc5592"/>
            <w:r>
              <w:rPr>
                <w:rFonts w:hint="eastAsia" w:ascii="黑体" w:hAnsi="宋体" w:eastAsia="黑体" w:cs="黑体"/>
                <w:b/>
                <w:bCs/>
                <w:i w:val="0"/>
                <w:iCs w:val="0"/>
                <w:color w:val="auto"/>
                <w:kern w:val="0"/>
                <w:sz w:val="28"/>
                <w:szCs w:val="28"/>
                <w:u w:val="none"/>
                <w:lang w:val="en-US" w:eastAsia="zh-CN" w:bidi="ar"/>
              </w:rPr>
              <w:t>双鸭山市水务局部门整体预算绩效自评表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9769" w:type="dxa"/>
            <w:gridSpan w:val="1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（2021年度）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项目名称</w:t>
            </w:r>
          </w:p>
        </w:tc>
        <w:tc>
          <w:tcPr>
            <w:tcW w:w="819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双鸭山市水务局部门整体预算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主管部门</w:t>
            </w:r>
          </w:p>
        </w:tc>
        <w:tc>
          <w:tcPr>
            <w:tcW w:w="27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双鸭山市水务局</w:t>
            </w:r>
          </w:p>
        </w:tc>
        <w:tc>
          <w:tcPr>
            <w:tcW w:w="2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实施单位</w:t>
            </w:r>
          </w:p>
        </w:tc>
        <w:tc>
          <w:tcPr>
            <w:tcW w:w="26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双鸭山市水务局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项目资金</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（万元）</w:t>
            </w:r>
          </w:p>
        </w:tc>
        <w:tc>
          <w:tcPr>
            <w:tcW w:w="17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年初预算数</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全年预算数</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全年执行数</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分值</w:t>
            </w:r>
          </w:p>
        </w:tc>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执行率</w:t>
            </w:r>
          </w:p>
        </w:tc>
        <w:tc>
          <w:tcPr>
            <w:tcW w:w="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7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年度资金总额</w:t>
            </w:r>
          </w:p>
        </w:tc>
        <w:tc>
          <w:tcPr>
            <w:tcW w:w="1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579.40 </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2,727.50 </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2842.09</w:t>
            </w:r>
          </w:p>
        </w:tc>
        <w:tc>
          <w:tcPr>
            <w:tcW w:w="5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104.2%</w:t>
            </w:r>
          </w:p>
        </w:tc>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7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其中：当年财政拨款</w:t>
            </w:r>
          </w:p>
        </w:tc>
        <w:tc>
          <w:tcPr>
            <w:tcW w:w="1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459.00 </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1,733.65 </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1733.65</w:t>
            </w: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100.0%</w:t>
            </w:r>
          </w:p>
        </w:tc>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7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上年结转资金</w:t>
            </w:r>
          </w:p>
        </w:tc>
        <w:tc>
          <w:tcPr>
            <w:tcW w:w="1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   </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7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其他资金</w:t>
            </w:r>
          </w:p>
        </w:tc>
        <w:tc>
          <w:tcPr>
            <w:tcW w:w="1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120.40 </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993.85 </w:t>
            </w:r>
          </w:p>
        </w:tc>
        <w:tc>
          <w:tcPr>
            <w:tcW w:w="11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993.85</w:t>
            </w: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100.0%</w:t>
            </w:r>
          </w:p>
        </w:tc>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年度总体目标</w:t>
            </w:r>
          </w:p>
        </w:tc>
        <w:tc>
          <w:tcPr>
            <w:tcW w:w="54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预期目标</w:t>
            </w:r>
          </w:p>
        </w:tc>
        <w:tc>
          <w:tcPr>
            <w:tcW w:w="384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475"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1.保障部门正常运转。</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2.保障各项水利设施工程正常运行。</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3.保障水资源合理使用。</w:t>
            </w:r>
          </w:p>
        </w:tc>
        <w:tc>
          <w:tcPr>
            <w:tcW w:w="3849"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1.本年度各部门运转正常。</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2.本年度各项水利设施工程运行良好。</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3.本年度水资源使用合法合规合理。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47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18"/>
                <w:szCs w:val="18"/>
                <w:u w:val="none"/>
              </w:rPr>
            </w:pPr>
          </w:p>
        </w:tc>
        <w:tc>
          <w:tcPr>
            <w:tcW w:w="3849"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绩效指标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一级指标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权重</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二级指标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分值</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三级指标</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年度指标值</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全年完成值</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设定分值</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实际得分</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产出指标</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40</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数量指标</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1.是否发放全部人员工资</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2.各项目是否开工</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3.非税收入是否足额上缴</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质量指标</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1.是否足额发放人员工资</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2.工程验收合格率</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3.已建工程是否存在质量问题</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否</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否</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时效指标</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1.资金支出及时率</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2.工资是否按时发放</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成本指标</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1.总成本是否控制在年初预算内</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否</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新增项目及人员工资，成本大于预算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2.单位成本是否控制在年初预算内</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否</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新增项目等因素使得成本大于预算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效益指标</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社会效益指标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1.是否保证各项水利设施正常运行</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生态效益指标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2.是否提高节约用水能力</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可持续影响指标</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1.是否保证单位全年正常运转</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2.新增工程是否良性运行</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3.工程是否达到设计使用年限</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是</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满意度</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指标</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服务对象</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满意度指标</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1.受益群众满意度</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2.工作人员满意度</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08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总分</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100 </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97 </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9769"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注;全年执行数中包含安邦河流域水环境综合整治工程（百大项目）等项目支出，因此全年执行数远大于预算数。</w:t>
            </w:r>
          </w:p>
        </w:tc>
      </w:tr>
    </w:tbl>
    <w:p>
      <w:pPr>
        <w:spacing w:line="360" w:lineRule="auto"/>
        <w:outlineLvl w:val="9"/>
        <w:rPr>
          <w:rFonts w:hint="eastAsia" w:asciiTheme="minorEastAsia" w:hAnsiTheme="minorEastAsia" w:eastAsiaTheme="minorEastAsia" w:cstheme="minorEastAsia"/>
          <w:color w:val="auto"/>
          <w:sz w:val="28"/>
          <w:szCs w:val="28"/>
        </w:rPr>
        <w:sectPr>
          <w:pgSz w:w="11906" w:h="16838"/>
          <w:pgMar w:top="1134" w:right="1417" w:bottom="1134" w:left="1417" w:header="851" w:footer="992" w:gutter="0"/>
          <w:cols w:space="0" w:num="1"/>
          <w:docGrid w:type="lines" w:linePitch="319" w:charSpace="0"/>
        </w:sectPr>
      </w:pPr>
    </w:p>
    <w:p>
      <w:pPr>
        <w:spacing w:line="360" w:lineRule="auto"/>
        <w:outlineLvl w:val="0"/>
        <w:rPr>
          <w:rFonts w:hint="eastAsia" w:asciiTheme="minorEastAsia" w:hAnsiTheme="minorEastAsia" w:eastAsiaTheme="minorEastAsia" w:cstheme="minorEastAsia"/>
          <w:color w:val="auto"/>
          <w:sz w:val="28"/>
          <w:szCs w:val="28"/>
        </w:rPr>
      </w:pPr>
      <w:bookmarkStart w:id="97" w:name="_Toc15382"/>
      <w:r>
        <w:rPr>
          <w:rFonts w:hint="eastAsia" w:asciiTheme="minorEastAsia" w:hAnsiTheme="minorEastAsia" w:eastAsiaTheme="minorEastAsia" w:cstheme="minorEastAsia"/>
          <w:color w:val="auto"/>
          <w:sz w:val="28"/>
          <w:szCs w:val="28"/>
        </w:rPr>
        <w:t>附件</w:t>
      </w: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：绩效评价专家评审意见表</w:t>
      </w:r>
      <w:bookmarkEnd w:id="95"/>
      <w:bookmarkEnd w:id="96"/>
      <w:bookmarkEnd w:id="97"/>
    </w:p>
    <w:p>
      <w:pPr>
        <w:pStyle w:val="2"/>
        <w:spacing w:line="360" w:lineRule="auto"/>
        <w:jc w:val="center"/>
        <w:outlineLvl w:val="9"/>
        <w:rPr>
          <w:rFonts w:hint="default" w:ascii="Times New Roman" w:hAnsi="Times New Roman" w:eastAsia="宋体" w:cs="Times New Roman"/>
          <w:b/>
          <w:bCs/>
          <w:color w:val="auto"/>
        </w:rPr>
      </w:pPr>
      <w:bookmarkStart w:id="98" w:name="_Toc14241"/>
      <w:r>
        <w:rPr>
          <w:rFonts w:hint="default" w:ascii="Times New Roman" w:hAnsi="Times New Roman" w:eastAsia="宋体" w:cs="Times New Roman"/>
          <w:b/>
          <w:bCs/>
          <w:color w:val="auto"/>
          <w:sz w:val="32"/>
          <w:szCs w:val="32"/>
        </w:rPr>
        <w:t>绩效评价专家评审意见表</w:t>
      </w:r>
      <w:bookmarkEnd w:id="98"/>
    </w:p>
    <w:tbl>
      <w:tblPr>
        <w:tblStyle w:val="13"/>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463"/>
        <w:gridCol w:w="902"/>
        <w:gridCol w:w="2610"/>
        <w:gridCol w:w="475"/>
        <w:gridCol w:w="785"/>
        <w:gridCol w:w="660"/>
        <w:gridCol w:w="2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270" w:type="dxa"/>
            <w:gridSpan w:val="2"/>
            <w:vAlign w:val="center"/>
          </w:tcPr>
          <w:p>
            <w:pPr>
              <w:widowControl/>
              <w:overflowPunct/>
              <w:autoSpaceDE/>
              <w:autoSpaceDN/>
              <w:snapToGrid w:val="0"/>
              <w:spacing w:line="360" w:lineRule="auto"/>
              <w:jc w:val="center"/>
              <w:textAlignment w:val="auto"/>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项目名称</w:t>
            </w:r>
          </w:p>
        </w:tc>
        <w:tc>
          <w:tcPr>
            <w:tcW w:w="3512" w:type="dxa"/>
            <w:gridSpan w:val="2"/>
            <w:vAlign w:val="center"/>
          </w:tcPr>
          <w:p>
            <w:pPr>
              <w:widowControl/>
              <w:overflowPunct/>
              <w:autoSpaceDE/>
              <w:autoSpaceDN/>
              <w:snapToGrid w:val="0"/>
              <w:spacing w:line="360" w:lineRule="auto"/>
              <w:jc w:val="center"/>
              <w:textAlignment w:val="auto"/>
              <w:rPr>
                <w:rFonts w:hint="default" w:ascii="Times New Roman" w:hAnsi="Times New Roman" w:eastAsia="宋体" w:cs="Times New Roman"/>
                <w:color w:val="auto"/>
                <w:sz w:val="22"/>
                <w:szCs w:val="22"/>
                <w:lang w:eastAsia="zh-CN" w:bidi="ar"/>
              </w:rPr>
            </w:pPr>
            <w:r>
              <w:rPr>
                <w:rFonts w:hint="eastAsia" w:cs="Times New Roman"/>
                <w:color w:val="auto"/>
                <w:sz w:val="22"/>
                <w:szCs w:val="22"/>
                <w:lang w:val="en-US" w:eastAsia="zh-CN" w:bidi="ar"/>
              </w:rPr>
              <w:t>黑龙江省</w:t>
            </w:r>
            <w:r>
              <w:rPr>
                <w:rFonts w:hint="eastAsia" w:cs="Times New Roman"/>
                <w:color w:val="auto"/>
                <w:sz w:val="22"/>
                <w:szCs w:val="22"/>
                <w:lang w:eastAsia="zh-CN" w:bidi="ar"/>
              </w:rPr>
              <w:t>省双鸭山市水务局2021年部门评价</w:t>
            </w:r>
          </w:p>
        </w:tc>
        <w:tc>
          <w:tcPr>
            <w:tcW w:w="1260" w:type="dxa"/>
            <w:gridSpan w:val="2"/>
            <w:vAlign w:val="center"/>
          </w:tcPr>
          <w:p>
            <w:pPr>
              <w:widowControl/>
              <w:overflowPunct/>
              <w:autoSpaceDE/>
              <w:autoSpaceDN/>
              <w:snapToGrid w:val="0"/>
              <w:spacing w:line="360" w:lineRule="auto"/>
              <w:jc w:val="center"/>
              <w:textAlignment w:val="auto"/>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委托单位</w:t>
            </w:r>
          </w:p>
        </w:tc>
        <w:tc>
          <w:tcPr>
            <w:tcW w:w="3116" w:type="dxa"/>
            <w:gridSpan w:val="2"/>
            <w:vAlign w:val="center"/>
          </w:tcPr>
          <w:p>
            <w:pPr>
              <w:widowControl/>
              <w:overflowPunct/>
              <w:autoSpaceDE/>
              <w:autoSpaceDN/>
              <w:snapToGrid w:val="0"/>
              <w:spacing w:line="360" w:lineRule="auto"/>
              <w:jc w:val="center"/>
              <w:textAlignment w:val="auto"/>
              <w:rPr>
                <w:rFonts w:hint="default" w:ascii="Times New Roman" w:hAnsi="Times New Roman" w:eastAsia="宋体" w:cs="Times New Roman"/>
                <w:color w:val="auto"/>
                <w:sz w:val="22"/>
                <w:szCs w:val="22"/>
                <w:lang w:bidi="ar"/>
              </w:rPr>
            </w:pPr>
            <w:r>
              <w:rPr>
                <w:rFonts w:hint="default" w:ascii="Times New Roman" w:hAnsi="Times New Roman" w:eastAsia="宋体" w:cs="Times New Roman"/>
                <w:color w:val="auto"/>
                <w:sz w:val="22"/>
                <w:szCs w:val="22"/>
                <w:lang w:bidi="ar"/>
              </w:rPr>
              <w:t>国咨项目管理有限公司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270" w:type="dxa"/>
            <w:gridSpan w:val="2"/>
            <w:vAlign w:val="center"/>
          </w:tcPr>
          <w:p>
            <w:pPr>
              <w:widowControl/>
              <w:overflowPunct/>
              <w:autoSpaceDE/>
              <w:autoSpaceDN/>
              <w:snapToGrid w:val="0"/>
              <w:spacing w:line="360" w:lineRule="auto"/>
              <w:jc w:val="center"/>
              <w:textAlignment w:val="auto"/>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主管部门</w:t>
            </w:r>
          </w:p>
        </w:tc>
        <w:tc>
          <w:tcPr>
            <w:tcW w:w="3512" w:type="dxa"/>
            <w:gridSpan w:val="2"/>
            <w:vAlign w:val="center"/>
          </w:tcPr>
          <w:p>
            <w:pPr>
              <w:widowControl/>
              <w:overflowPunct/>
              <w:autoSpaceDE/>
              <w:autoSpaceDN/>
              <w:snapToGrid w:val="0"/>
              <w:spacing w:line="360" w:lineRule="auto"/>
              <w:jc w:val="center"/>
              <w:textAlignment w:val="auto"/>
              <w:rPr>
                <w:rFonts w:hint="eastAsia" w:ascii="Times New Roman" w:hAnsi="Times New Roman" w:eastAsia="宋体" w:cs="Times New Roman"/>
                <w:color w:val="auto"/>
                <w:sz w:val="22"/>
                <w:szCs w:val="22"/>
                <w:lang w:eastAsia="zh-CN" w:bidi="ar"/>
              </w:rPr>
            </w:pPr>
            <w:r>
              <w:rPr>
                <w:rFonts w:hint="eastAsia" w:cs="Times New Roman"/>
                <w:color w:val="auto"/>
                <w:sz w:val="22"/>
                <w:szCs w:val="22"/>
                <w:lang w:eastAsia="zh-CN" w:bidi="ar"/>
              </w:rPr>
              <w:t>双鸭山市水务局</w:t>
            </w:r>
          </w:p>
        </w:tc>
        <w:tc>
          <w:tcPr>
            <w:tcW w:w="1260" w:type="dxa"/>
            <w:gridSpan w:val="2"/>
            <w:vAlign w:val="center"/>
          </w:tcPr>
          <w:p>
            <w:pPr>
              <w:widowControl/>
              <w:overflowPunct/>
              <w:autoSpaceDE/>
              <w:autoSpaceDN/>
              <w:snapToGrid w:val="0"/>
              <w:spacing w:line="360" w:lineRule="auto"/>
              <w:jc w:val="center"/>
              <w:textAlignment w:val="auto"/>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项目单位</w:t>
            </w:r>
          </w:p>
        </w:tc>
        <w:tc>
          <w:tcPr>
            <w:tcW w:w="3116" w:type="dxa"/>
            <w:gridSpan w:val="2"/>
            <w:vAlign w:val="center"/>
          </w:tcPr>
          <w:p>
            <w:pPr>
              <w:widowControl/>
              <w:overflowPunct/>
              <w:autoSpaceDE/>
              <w:autoSpaceDN/>
              <w:snapToGrid w:val="0"/>
              <w:spacing w:line="360" w:lineRule="auto"/>
              <w:jc w:val="center"/>
              <w:textAlignment w:val="auto"/>
              <w:rPr>
                <w:rFonts w:hint="default" w:ascii="Times New Roman" w:hAnsi="Times New Roman" w:eastAsia="宋体" w:cs="Times New Roman"/>
                <w:color w:val="auto"/>
                <w:sz w:val="22"/>
                <w:szCs w:val="22"/>
                <w:lang w:val="en-US" w:eastAsia="zh-CN" w:bidi="ar"/>
              </w:rPr>
            </w:pPr>
            <w:r>
              <w:rPr>
                <w:rFonts w:hint="eastAsia" w:cs="Times New Roman"/>
                <w:color w:val="auto"/>
                <w:sz w:val="22"/>
                <w:szCs w:val="22"/>
                <w:lang w:eastAsia="zh-CN" w:bidi="ar"/>
              </w:rPr>
              <w:t xml:space="preserve"> 双鸭山市水务局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58" w:type="dxa"/>
            <w:gridSpan w:val="8"/>
          </w:tcPr>
          <w:p>
            <w:pPr>
              <w:pStyle w:val="2"/>
              <w:widowControl w:val="0"/>
              <w:spacing w:line="360" w:lineRule="auto"/>
              <w:rPr>
                <w:rFonts w:hint="default" w:ascii="Times New Roman" w:hAnsi="Times New Roman" w:eastAsia="宋体" w:cs="Times New Roman"/>
                <w:b/>
                <w:bCs/>
                <w:color w:val="auto"/>
                <w:szCs w:val="24"/>
                <w:lang w:val="en-US" w:eastAsia="zh-CN"/>
              </w:rPr>
            </w:pPr>
          </w:p>
          <w:p>
            <w:pPr>
              <w:pStyle w:val="2"/>
              <w:widowControl w:val="0"/>
              <w:spacing w:line="360" w:lineRule="auto"/>
              <w:rPr>
                <w:rFonts w:hint="default" w:ascii="Times New Roman" w:hAnsi="Times New Roman" w:eastAsia="宋体" w:cs="Times New Roman"/>
                <w:b/>
                <w:bCs/>
                <w:color w:val="auto"/>
                <w:szCs w:val="24"/>
                <w:lang w:val="en-US" w:eastAsia="zh-CN"/>
              </w:rPr>
            </w:pPr>
            <w:r>
              <w:rPr>
                <w:rFonts w:hint="default" w:ascii="Times New Roman" w:hAnsi="Times New Roman" w:eastAsia="宋体" w:cs="Times New Roman"/>
                <w:b/>
                <w:bCs/>
                <w:color w:val="auto"/>
                <w:szCs w:val="24"/>
                <w:lang w:val="en-US" w:eastAsia="zh-CN"/>
              </w:rPr>
              <w:t>专家评审意见：</w:t>
            </w:r>
          </w:p>
          <w:p>
            <w:pPr>
              <w:widowControl/>
              <w:overflowPunct/>
              <w:autoSpaceDE/>
              <w:autoSpaceDN/>
              <w:snapToGrid w:val="0"/>
              <w:spacing w:line="360" w:lineRule="auto"/>
              <w:ind w:left="479" w:leftChars="228" w:firstLine="480" w:firstLineChars="200"/>
              <w:jc w:val="left"/>
              <w:textAlignment w:val="auto"/>
              <w:rPr>
                <w:rFonts w:ascii="宋体" w:hAnsi="宋体" w:cs="宋体"/>
                <w:color w:val="auto"/>
                <w:sz w:val="24"/>
                <w:szCs w:val="24"/>
              </w:rPr>
            </w:pPr>
            <w:r>
              <w:rPr>
                <w:rFonts w:hint="eastAsia" w:ascii="宋体" w:hAnsi="宋体" w:cs="宋体"/>
                <w:color w:val="auto"/>
                <w:sz w:val="24"/>
                <w:szCs w:val="24"/>
              </w:rPr>
              <w:t>该项目绩效评价实施过程表述明晰、内容完整、操作性强，完成预定考核指标、达到预期目标，评价报告总体质量较高。本项目从</w:t>
            </w:r>
            <w:r>
              <w:rPr>
                <w:rFonts w:hint="eastAsia" w:ascii="宋体" w:hAnsi="宋体" w:cs="宋体"/>
                <w:color w:val="auto"/>
                <w:sz w:val="24"/>
                <w:szCs w:val="24"/>
                <w:lang w:val="en-US" w:eastAsia="zh-CN"/>
              </w:rPr>
              <w:t>完成情况上看</w:t>
            </w:r>
            <w:r>
              <w:rPr>
                <w:rFonts w:hint="eastAsia" w:ascii="宋体" w:hAnsi="宋体" w:cs="宋体"/>
                <w:color w:val="auto"/>
                <w:sz w:val="24"/>
                <w:szCs w:val="24"/>
              </w:rPr>
              <w:t>，</w:t>
            </w:r>
            <w:r>
              <w:rPr>
                <w:rFonts w:hint="eastAsia" w:ascii="宋体" w:hAnsi="宋体" w:cs="宋体"/>
                <w:color w:val="auto"/>
                <w:sz w:val="24"/>
                <w:szCs w:val="24"/>
                <w:lang w:val="en-US" w:eastAsia="zh-CN"/>
              </w:rPr>
              <w:t>具备一定社会效益</w:t>
            </w:r>
            <w:r>
              <w:rPr>
                <w:rFonts w:hint="eastAsia" w:ascii="宋体" w:hAnsi="宋体" w:cs="宋体"/>
                <w:color w:val="auto"/>
                <w:sz w:val="24"/>
                <w:szCs w:val="24"/>
              </w:rPr>
              <w:t>。项目管理具备时效性，资金安排及落实情况良好。绩效评价报告中对项目实施存在的问题及原因分析进行了细致剖析。</w:t>
            </w:r>
          </w:p>
          <w:p>
            <w:pPr>
              <w:widowControl/>
              <w:overflowPunct/>
              <w:autoSpaceDE/>
              <w:autoSpaceDN/>
              <w:snapToGrid w:val="0"/>
              <w:spacing w:line="360" w:lineRule="auto"/>
              <w:ind w:firstLine="480" w:firstLineChars="200"/>
              <w:jc w:val="left"/>
              <w:textAlignment w:val="auto"/>
              <w:rPr>
                <w:rFonts w:hint="eastAsia" w:ascii="宋体" w:hAnsi="宋体" w:cs="宋体"/>
                <w:color w:val="auto"/>
                <w:sz w:val="24"/>
                <w:szCs w:val="24"/>
              </w:rPr>
            </w:pPr>
            <w:r>
              <w:rPr>
                <w:rFonts w:hint="eastAsia" w:ascii="宋体" w:hAnsi="宋体" w:cs="宋体"/>
                <w:color w:val="auto"/>
                <w:sz w:val="24"/>
                <w:szCs w:val="24"/>
              </w:rPr>
              <w:t>下面就实施方案、评价报告等相关内容在细节上提出完善意见：</w:t>
            </w:r>
          </w:p>
          <w:p>
            <w:pPr>
              <w:widowControl/>
              <w:overflowPunct/>
              <w:autoSpaceDE/>
              <w:autoSpaceDN/>
              <w:snapToGrid w:val="0"/>
              <w:spacing w:line="360" w:lineRule="auto"/>
              <w:ind w:firstLine="480" w:firstLineChars="200"/>
              <w:jc w:val="left"/>
              <w:textAlignment w:val="auto"/>
              <w:rPr>
                <w:rFonts w:ascii="宋体" w:hAnsi="宋体" w:cs="宋体"/>
                <w:color w:val="auto"/>
                <w:sz w:val="24"/>
                <w:szCs w:val="24"/>
              </w:rPr>
            </w:pPr>
            <w:r>
              <w:rPr>
                <w:rFonts w:hint="eastAsia" w:ascii="宋体" w:hAnsi="宋体" w:cs="宋体"/>
                <w:color w:val="auto"/>
                <w:sz w:val="24"/>
                <w:szCs w:val="24"/>
              </w:rPr>
              <w:t>1、部分文字内容斟酌完善，需措辞严谨，表达精准。</w:t>
            </w:r>
          </w:p>
          <w:p>
            <w:pPr>
              <w:pStyle w:val="2"/>
              <w:widowControl w:val="0"/>
              <w:spacing w:line="360" w:lineRule="auto"/>
              <w:ind w:firstLine="480" w:firstLineChars="200"/>
              <w:rPr>
                <w:rFonts w:hint="default" w:ascii="Times New Roman" w:hAnsi="Times New Roman" w:eastAsia="宋体" w:cs="Times New Roman"/>
                <w:b/>
                <w:bCs/>
                <w:color w:val="auto"/>
                <w:szCs w:val="24"/>
                <w:lang w:val="en-US" w:eastAsia="zh-CN"/>
              </w:rPr>
            </w:pPr>
            <w:r>
              <w:rPr>
                <w:rFonts w:hint="eastAsia" w:ascii="宋体" w:hAnsi="宋体" w:cs="宋体"/>
                <w:color w:val="auto"/>
                <w:sz w:val="24"/>
                <w:szCs w:val="24"/>
              </w:rPr>
              <w:t>2、绩效指标体系中各指标解释、绩效评价指标分析与附表1中的内容较为接近。建议综合此项内容，简练报告文本。</w:t>
            </w:r>
          </w:p>
          <w:p>
            <w:pPr>
              <w:widowControl/>
              <w:overflowPunct/>
              <w:autoSpaceDE/>
              <w:autoSpaceDN/>
              <w:snapToGrid w:val="0"/>
              <w:spacing w:line="360" w:lineRule="auto"/>
              <w:jc w:val="center"/>
              <w:textAlignment w:val="auto"/>
              <w:rPr>
                <w:rFonts w:hint="default" w:ascii="Times New Roman" w:hAnsi="Times New Roman" w:eastAsia="宋体" w:cs="Times New Roman"/>
                <w:color w:val="auto"/>
                <w:sz w:val="24"/>
                <w:szCs w:val="24"/>
                <w:lang w:val="en-US" w:eastAsia="zh-CN" w:bidi="ar"/>
              </w:rPr>
            </w:pPr>
          </w:p>
          <w:p>
            <w:pPr>
              <w:pStyle w:val="2"/>
              <w:widowControl w:val="0"/>
              <w:spacing w:line="360" w:lineRule="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158" w:type="dxa"/>
            <w:gridSpan w:val="8"/>
            <w:vAlign w:val="center"/>
          </w:tcPr>
          <w:p>
            <w:pPr>
              <w:pStyle w:val="2"/>
              <w:widowControl w:val="0"/>
              <w:jc w:val="both"/>
              <w:rPr>
                <w:rFonts w:hint="default" w:ascii="Times New Roman" w:hAnsi="Times New Roman" w:eastAsia="宋体" w:cs="Times New Roman"/>
                <w:b/>
                <w:bCs/>
                <w:color w:val="auto"/>
                <w:lang w:val="en-US" w:eastAsia="zh-CN"/>
              </w:rPr>
            </w:pPr>
            <w:r>
              <w:rPr>
                <w:rFonts w:hint="eastAsia"/>
                <w:b/>
                <w:bCs/>
                <w:color w:val="auto"/>
                <w:lang w:val="en-US" w:eastAsia="zh-CN"/>
              </w:rPr>
              <w:t xml:space="preserve">绩效评价意见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158" w:type="dxa"/>
            <w:gridSpan w:val="8"/>
            <w:vAlign w:val="center"/>
          </w:tcPr>
          <w:p>
            <w:pPr>
              <w:pStyle w:val="2"/>
              <w:widowControl w:val="0"/>
              <w:ind w:firstLine="1440" w:firstLineChars="600"/>
              <w:rPr>
                <w:rFonts w:ascii="宋体" w:hAnsi="宋体" w:cs="宋体"/>
                <w:snapToGrid w:val="0"/>
                <w:color w:val="auto"/>
                <w:lang w:val="en-US" w:eastAsia="zh-CN"/>
              </w:rPr>
            </w:pPr>
            <w:r>
              <w:rPr>
                <w:rFonts w:hint="eastAsia" w:ascii="宋体" w:hAnsi="宋体" w:cs="宋体"/>
                <w:snapToGrid w:val="0"/>
                <w:color w:val="auto"/>
                <w:lang w:eastAsia="zh-CN"/>
              </w:rPr>
              <w:t>☑</w:t>
            </w:r>
            <w:r>
              <w:rPr>
                <w:rFonts w:hint="eastAsia" w:ascii="宋体" w:hAnsi="宋体" w:cs="宋体"/>
                <w:snapToGrid w:val="0"/>
                <w:color w:val="auto"/>
                <w:lang w:val="en-US" w:eastAsia="zh-CN"/>
              </w:rPr>
              <w:t>通过</w:t>
            </w:r>
          </w:p>
          <w:p>
            <w:pPr>
              <w:pStyle w:val="2"/>
              <w:widowControl w:val="0"/>
              <w:ind w:firstLine="1440" w:firstLineChars="600"/>
              <w:rPr>
                <w:rFonts w:ascii="宋体" w:hAnsi="宋体" w:cs="宋体"/>
                <w:snapToGrid w:val="0"/>
                <w:color w:val="auto"/>
                <w:lang w:val="en-US" w:eastAsia="zh-CN"/>
              </w:rPr>
            </w:pPr>
            <w:r>
              <w:rPr>
                <w:rFonts w:hint="eastAsia" w:ascii="宋体" w:hAnsi="宋体" w:cs="宋体"/>
                <w:snapToGrid w:val="0"/>
                <w:color w:val="auto"/>
                <w:lang w:eastAsia="zh-CN"/>
              </w:rPr>
              <w:t>□</w:t>
            </w:r>
            <w:r>
              <w:rPr>
                <w:rFonts w:hint="eastAsia" w:ascii="宋体" w:hAnsi="宋体" w:cs="宋体"/>
                <w:snapToGrid w:val="0"/>
                <w:color w:val="auto"/>
                <w:lang w:val="en-US" w:eastAsia="zh-CN"/>
              </w:rPr>
              <w:t>整改</w:t>
            </w:r>
          </w:p>
          <w:p>
            <w:pPr>
              <w:pStyle w:val="2"/>
              <w:widowControl w:val="0"/>
              <w:ind w:firstLine="1440" w:firstLineChars="600"/>
              <w:jc w:val="both"/>
              <w:rPr>
                <w:rFonts w:hint="default" w:ascii="Times New Roman" w:hAnsi="Times New Roman" w:eastAsia="宋体" w:cs="Times New Roman"/>
                <w:b/>
                <w:bCs/>
                <w:color w:val="auto"/>
                <w:lang w:val="en-US" w:eastAsia="zh-CN"/>
              </w:rPr>
            </w:pPr>
            <w:r>
              <w:rPr>
                <w:rFonts w:hint="eastAsia" w:ascii="宋体" w:hAnsi="宋体" w:cs="宋体"/>
                <w:snapToGrid w:val="0"/>
                <w:color w:val="auto"/>
                <w:lang w:eastAsia="zh-CN"/>
              </w:rPr>
              <w:t>□</w:t>
            </w:r>
            <w:r>
              <w:rPr>
                <w:rFonts w:hint="eastAsia" w:ascii="宋体" w:hAnsi="宋体" w:cs="宋体"/>
                <w:snapToGrid w:val="0"/>
                <w:color w:val="auto"/>
                <w:lang w:val="en-US" w:eastAsia="zh-CN"/>
              </w:rPr>
              <w:t>未通过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158" w:type="dxa"/>
            <w:gridSpan w:val="8"/>
            <w:vAlign w:val="center"/>
          </w:tcPr>
          <w:p>
            <w:pPr>
              <w:pStyle w:val="2"/>
              <w:widowControl w:val="0"/>
              <w:spacing w:line="360" w:lineRule="auto"/>
              <w:jc w:val="both"/>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专家组成员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序号</w:t>
            </w:r>
          </w:p>
        </w:tc>
        <w:tc>
          <w:tcPr>
            <w:tcW w:w="1365" w:type="dxa"/>
            <w:gridSpan w:val="2"/>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姓名</w:t>
            </w:r>
          </w:p>
        </w:tc>
        <w:tc>
          <w:tcPr>
            <w:tcW w:w="3085" w:type="dxa"/>
            <w:gridSpan w:val="2"/>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单位</w:t>
            </w:r>
          </w:p>
        </w:tc>
        <w:tc>
          <w:tcPr>
            <w:tcW w:w="1445" w:type="dxa"/>
            <w:gridSpan w:val="2"/>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专业</w:t>
            </w:r>
          </w:p>
        </w:tc>
        <w:tc>
          <w:tcPr>
            <w:tcW w:w="2456" w:type="dxa"/>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职务、职业资格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136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 xml:space="preserve">王泽彩 </w:t>
            </w:r>
          </w:p>
        </w:tc>
        <w:tc>
          <w:tcPr>
            <w:tcW w:w="308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中国财政科学研究院政府绩效研究中心</w:t>
            </w:r>
          </w:p>
        </w:tc>
        <w:tc>
          <w:tcPr>
            <w:tcW w:w="144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绩效管理</w:t>
            </w:r>
          </w:p>
        </w:tc>
        <w:tc>
          <w:tcPr>
            <w:tcW w:w="2456" w:type="dxa"/>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主任、研究员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136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曹堂哲</w:t>
            </w:r>
          </w:p>
        </w:tc>
        <w:tc>
          <w:tcPr>
            <w:tcW w:w="308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中央财经大学</w:t>
            </w:r>
          </w:p>
        </w:tc>
        <w:tc>
          <w:tcPr>
            <w:tcW w:w="144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绩效评价</w:t>
            </w:r>
          </w:p>
        </w:tc>
        <w:tc>
          <w:tcPr>
            <w:tcW w:w="2456" w:type="dxa"/>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w:t>
            </w:r>
          </w:p>
        </w:tc>
        <w:tc>
          <w:tcPr>
            <w:tcW w:w="136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 xml:space="preserve">林 靖 </w:t>
            </w:r>
          </w:p>
        </w:tc>
        <w:tc>
          <w:tcPr>
            <w:tcW w:w="308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哈尔滨动力设备物流有限责任公司</w:t>
            </w:r>
          </w:p>
        </w:tc>
        <w:tc>
          <w:tcPr>
            <w:tcW w:w="144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会计</w:t>
            </w:r>
          </w:p>
        </w:tc>
        <w:tc>
          <w:tcPr>
            <w:tcW w:w="2456" w:type="dxa"/>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高级会计师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w:t>
            </w:r>
          </w:p>
        </w:tc>
        <w:tc>
          <w:tcPr>
            <w:tcW w:w="136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高丽婧</w:t>
            </w:r>
          </w:p>
        </w:tc>
        <w:tc>
          <w:tcPr>
            <w:tcW w:w="308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黑龙江正达会计师事务所有限公司</w:t>
            </w:r>
          </w:p>
        </w:tc>
        <w:tc>
          <w:tcPr>
            <w:tcW w:w="144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审计</w:t>
            </w:r>
          </w:p>
        </w:tc>
        <w:tc>
          <w:tcPr>
            <w:tcW w:w="2456" w:type="dxa"/>
            <w:vAlign w:val="center"/>
          </w:tcPr>
          <w:p>
            <w:pPr>
              <w:pStyle w:val="2"/>
              <w:widowControl w:val="0"/>
              <w:jc w:val="center"/>
              <w:rPr>
                <w:color w:val="auto"/>
                <w:lang w:val="en-US" w:eastAsia="zh-CN"/>
              </w:rPr>
            </w:pPr>
            <w:r>
              <w:rPr>
                <w:rFonts w:hint="eastAsia"/>
                <w:color w:val="auto"/>
                <w:lang w:val="en-US" w:eastAsia="zh-CN"/>
              </w:rPr>
              <w:t>注册会计师</w:t>
            </w:r>
          </w:p>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高级会计师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p>
        </w:tc>
        <w:tc>
          <w:tcPr>
            <w:tcW w:w="136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张喜娟</w:t>
            </w:r>
          </w:p>
        </w:tc>
        <w:tc>
          <w:tcPr>
            <w:tcW w:w="308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黑龙江信息技术职业学院</w:t>
            </w:r>
          </w:p>
        </w:tc>
        <w:tc>
          <w:tcPr>
            <w:tcW w:w="1445" w:type="dxa"/>
            <w:gridSpan w:val="2"/>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财务</w:t>
            </w:r>
          </w:p>
        </w:tc>
        <w:tc>
          <w:tcPr>
            <w:tcW w:w="2456" w:type="dxa"/>
            <w:vAlign w:val="center"/>
          </w:tcPr>
          <w:p>
            <w:pPr>
              <w:pStyle w:val="2"/>
              <w:widowControl w:val="0"/>
              <w:jc w:val="center"/>
              <w:rPr>
                <w:rFonts w:hint="default" w:ascii="Times New Roman" w:hAnsi="Times New Roman" w:eastAsia="宋体" w:cs="Times New Roman"/>
                <w:color w:val="auto"/>
                <w:lang w:val="en-US" w:eastAsia="zh-CN"/>
              </w:rPr>
            </w:pPr>
            <w:r>
              <w:rPr>
                <w:rFonts w:hint="eastAsia"/>
                <w:color w:val="auto"/>
                <w:lang w:val="en-US" w:eastAsia="zh-CN"/>
              </w:rPr>
              <w:t>研究员级高级会计师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9" w:hRule="atLeast"/>
          <w:jc w:val="center"/>
        </w:trPr>
        <w:tc>
          <w:tcPr>
            <w:tcW w:w="9158" w:type="dxa"/>
            <w:gridSpan w:val="8"/>
            <w:vAlign w:val="center"/>
          </w:tcPr>
          <w:p>
            <w:pPr>
              <w:pStyle w:val="2"/>
              <w:widowControl w:val="0"/>
              <w:spacing w:line="360" w:lineRule="auto"/>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专家签字：</w:t>
            </w:r>
            <w:r>
              <w:rPr>
                <w:rFonts w:hint="default" w:ascii="Times New Roman" w:hAnsi="Times New Roman" w:eastAsia="宋体" w:cs="Times New Roman"/>
                <w:color w:val="auto"/>
                <w:lang w:val="en-US" w:eastAsia="zh-CN"/>
              </w:rPr>
              <w:tab/>
            </w:r>
            <w:r>
              <w:rPr>
                <w:color w:val="auto"/>
                <w:lang w:val="en-US" w:eastAsia="zh-CN"/>
              </w:rPr>
              <w:drawing>
                <wp:anchor distT="0" distB="0" distL="114300" distR="114300" simplePos="0" relativeHeight="251660288" behindDoc="0" locked="0" layoutInCell="1" allowOverlap="1">
                  <wp:simplePos x="0" y="0"/>
                  <wp:positionH relativeFrom="column">
                    <wp:posOffset>942975</wp:posOffset>
                  </wp:positionH>
                  <wp:positionV relativeFrom="paragraph">
                    <wp:posOffset>316230</wp:posOffset>
                  </wp:positionV>
                  <wp:extent cx="970280" cy="632460"/>
                  <wp:effectExtent l="0" t="0" r="5080" b="7620"/>
                  <wp:wrapSquare wrapText="bothSides"/>
                  <wp:docPr id="1" name="图片 1" descr="12d3c9a7eb05d8932c7a592e6e116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d3c9a7eb05d8932c7a592e6e116fa"/>
                          <pic:cNvPicPr>
                            <a:picLocks noChangeAspect="1"/>
                          </pic:cNvPicPr>
                        </pic:nvPicPr>
                        <pic:blipFill>
                          <a:blip r:embed="rId6"/>
                          <a:stretch>
                            <a:fillRect/>
                          </a:stretch>
                        </pic:blipFill>
                        <pic:spPr>
                          <a:xfrm>
                            <a:off x="0" y="0"/>
                            <a:ext cx="970280" cy="632460"/>
                          </a:xfrm>
                          <a:prstGeom prst="rect">
                            <a:avLst/>
                          </a:prstGeom>
                        </pic:spPr>
                      </pic:pic>
                    </a:graphicData>
                  </a:graphic>
                </wp:anchor>
              </w:drawing>
            </w:r>
          </w:p>
          <w:p>
            <w:pPr>
              <w:pStyle w:val="2"/>
              <w:widowControl w:val="0"/>
              <w:tabs>
                <w:tab w:val="left" w:pos="3964"/>
                <w:tab w:val="left" w:pos="7134"/>
              </w:tabs>
              <w:spacing w:line="360" w:lineRule="auto"/>
              <w:jc w:val="both"/>
              <w:rPr>
                <w:rFonts w:hint="default" w:ascii="Times New Roman" w:hAnsi="Times New Roman" w:eastAsia="宋体" w:cs="Times New Roman"/>
                <w:color w:val="auto"/>
                <w:lang w:val="en-US" w:eastAsia="zh-CN"/>
              </w:rPr>
            </w:pPr>
            <w:r>
              <w:rPr>
                <w:color w:val="auto"/>
                <w:shd w:val="clear" w:color="auto" w:fill="E7E6E6" w:themeFill="background2"/>
              </w:rPr>
              <w:drawing>
                <wp:anchor distT="0" distB="0" distL="114300" distR="114300" simplePos="0" relativeHeight="251662336" behindDoc="0" locked="0" layoutInCell="1" allowOverlap="1">
                  <wp:simplePos x="0" y="0"/>
                  <wp:positionH relativeFrom="margin">
                    <wp:posOffset>3695700</wp:posOffset>
                  </wp:positionH>
                  <wp:positionV relativeFrom="paragraph">
                    <wp:posOffset>10795</wp:posOffset>
                  </wp:positionV>
                  <wp:extent cx="1165860" cy="628650"/>
                  <wp:effectExtent l="0" t="0" r="7620" b="11430"/>
                  <wp:wrapSquare wrapText="bothSides"/>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7" cstate="print">
                            <a:clrChange>
                              <a:clrFrom>
                                <a:srgbClr val="C2BBA9"/>
                              </a:clrFrom>
                              <a:clrTo>
                                <a:srgbClr val="C2BBA9">
                                  <a:alpha val="0"/>
                                </a:srgbClr>
                              </a:clrTo>
                            </a:clrChange>
                            <a:biLevel thresh="50000"/>
                            <a:extLst>
                              <a:ext uri="{28A0092B-C50C-407E-A947-70E740481C1C}">
                                <a14:useLocalDpi xmlns:a14="http://schemas.microsoft.com/office/drawing/2010/main" val="0"/>
                              </a:ext>
                            </a:extLst>
                          </a:blip>
                          <a:stretch>
                            <a:fillRect/>
                          </a:stretch>
                        </pic:blipFill>
                        <pic:spPr>
                          <a:xfrm>
                            <a:off x="0" y="0"/>
                            <a:ext cx="1165860" cy="628650"/>
                          </a:xfrm>
                          <a:prstGeom prst="rect">
                            <a:avLst/>
                          </a:prstGeom>
                        </pic:spPr>
                      </pic:pic>
                    </a:graphicData>
                  </a:graphic>
                </wp:anchor>
              </w:drawing>
            </w:r>
            <w:r>
              <w:rPr>
                <w:rFonts w:hint="eastAsia" w:eastAsiaTheme="minorEastAsia"/>
                <w:color w:val="auto"/>
                <w:lang w:eastAsia="zh-CN"/>
              </w:rPr>
              <w:drawing>
                <wp:anchor distT="0" distB="0" distL="114300" distR="114300" simplePos="0" relativeHeight="251661312" behindDoc="0" locked="0" layoutInCell="1" allowOverlap="1">
                  <wp:simplePos x="0" y="0"/>
                  <wp:positionH relativeFrom="column">
                    <wp:posOffset>2213610</wp:posOffset>
                  </wp:positionH>
                  <wp:positionV relativeFrom="paragraph">
                    <wp:posOffset>49530</wp:posOffset>
                  </wp:positionV>
                  <wp:extent cx="974725" cy="476885"/>
                  <wp:effectExtent l="50800" t="145415" r="56515" b="154940"/>
                  <wp:wrapSquare wrapText="bothSides"/>
                  <wp:docPr id="66" name="图片 66" descr="e34fd602dcf902176111091215703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e34fd602dcf902176111091215703a4"/>
                          <pic:cNvPicPr>
                            <a:picLocks noChangeAspect="1"/>
                          </pic:cNvPicPr>
                        </pic:nvPicPr>
                        <pic:blipFill>
                          <a:blip r:embed="rId8"/>
                          <a:srcRect l="52586" t="54407" r="12086" b="11847"/>
                          <a:stretch>
                            <a:fillRect/>
                          </a:stretch>
                        </pic:blipFill>
                        <pic:spPr>
                          <a:xfrm rot="1140000">
                            <a:off x="0" y="0"/>
                            <a:ext cx="974725" cy="476885"/>
                          </a:xfrm>
                          <a:prstGeom prst="rect">
                            <a:avLst/>
                          </a:prstGeom>
                        </pic:spPr>
                      </pic:pic>
                    </a:graphicData>
                  </a:graphic>
                </wp:anchor>
              </w:drawing>
            </w:r>
          </w:p>
          <w:p>
            <w:pPr>
              <w:pStyle w:val="2"/>
              <w:widowControl w:val="0"/>
              <w:tabs>
                <w:tab w:val="left" w:pos="3964"/>
                <w:tab w:val="left" w:pos="7134"/>
              </w:tabs>
              <w:spacing w:line="360" w:lineRule="auto"/>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                                                  </w:t>
            </w:r>
          </w:p>
          <w:p>
            <w:pPr>
              <w:pStyle w:val="2"/>
              <w:widowControl w:val="0"/>
              <w:tabs>
                <w:tab w:val="left" w:pos="3964"/>
                <w:tab w:val="left" w:pos="7134"/>
              </w:tabs>
              <w:spacing w:line="360" w:lineRule="auto"/>
              <w:jc w:val="both"/>
              <w:rPr>
                <w:rFonts w:hint="default" w:ascii="Times New Roman" w:hAnsi="Times New Roman" w:eastAsia="宋体" w:cs="Times New Roman"/>
                <w:color w:val="auto"/>
                <w:lang w:val="en-US" w:eastAsia="zh-CN"/>
              </w:rPr>
            </w:pPr>
            <w:r>
              <w:rPr>
                <w:b/>
                <w:bCs/>
                <w:color w:val="auto"/>
                <w:lang w:val="en-US" w:eastAsia="zh-CN"/>
              </w:rPr>
              <w:drawing>
                <wp:anchor distT="0" distB="0" distL="0" distR="0" simplePos="0" relativeHeight="251663360" behindDoc="0" locked="0" layoutInCell="1" allowOverlap="1">
                  <wp:simplePos x="0" y="0"/>
                  <wp:positionH relativeFrom="column">
                    <wp:posOffset>1113790</wp:posOffset>
                  </wp:positionH>
                  <wp:positionV relativeFrom="paragraph">
                    <wp:posOffset>342900</wp:posOffset>
                  </wp:positionV>
                  <wp:extent cx="862965" cy="483235"/>
                  <wp:effectExtent l="0" t="0" r="0" b="4445"/>
                  <wp:wrapTopAndBottom/>
                  <wp:docPr id="13" name="图片 13" descr="曹堂哲毛笔.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曹堂哲毛笔.jpg"/>
                          <pic:cNvPicPr>
                            <a:picLocks noChangeAspect="1"/>
                          </pic:cNvPicPr>
                        </pic:nvPicPr>
                        <pic:blipFill>
                          <a:blip r:embed="rId9" cstate="print">
                            <a:clrChange>
                              <a:clrFrom>
                                <a:srgbClr val="FEFFFF"/>
                              </a:clrFrom>
                              <a:clrTo>
                                <a:srgbClr val="FEFFFF">
                                  <a:alpha val="0"/>
                                </a:srgbClr>
                              </a:clrTo>
                            </a:clrChange>
                          </a:blip>
                          <a:stretch>
                            <a:fillRect/>
                          </a:stretch>
                        </pic:blipFill>
                        <pic:spPr>
                          <a:xfrm>
                            <a:off x="0" y="0"/>
                            <a:ext cx="867722" cy="486117"/>
                          </a:xfrm>
                          <a:prstGeom prst="rect">
                            <a:avLst/>
                          </a:prstGeom>
                        </pic:spPr>
                      </pic:pic>
                    </a:graphicData>
                  </a:graphic>
                </wp:anchor>
              </w:drawing>
            </w:r>
            <w:r>
              <w:rPr>
                <w:rFonts w:hint="default" w:ascii="Times New Roman" w:hAnsi="Times New Roman" w:eastAsia="宋体" w:cs="Times New Roman"/>
                <w:color w:val="auto"/>
                <w:lang w:val="en-US" w:eastAsia="zh-CN"/>
              </w:rPr>
              <w:t xml:space="preserve">               </w:t>
            </w:r>
          </w:p>
          <w:p>
            <w:pPr>
              <w:pStyle w:val="2"/>
              <w:widowControl w:val="0"/>
              <w:tabs>
                <w:tab w:val="left" w:pos="3964"/>
                <w:tab w:val="left" w:pos="7134"/>
              </w:tabs>
              <w:spacing w:line="360" w:lineRule="auto"/>
              <w:jc w:val="both"/>
              <w:rPr>
                <w:rFonts w:hint="default" w:ascii="Times New Roman" w:hAnsi="Times New Roman" w:eastAsia="宋体" w:cs="Times New Roman"/>
                <w:color w:val="auto"/>
                <w:lang w:val="en-US" w:eastAsia="zh-CN"/>
              </w:rPr>
            </w:pPr>
            <w:r>
              <w:rPr>
                <w:color w:val="auto"/>
                <w:lang w:val="en-US" w:eastAsia="zh-CN"/>
              </w:rPr>
              <w:drawing>
                <wp:anchor distT="0" distB="0" distL="114300" distR="114300" simplePos="0" relativeHeight="251664384" behindDoc="0" locked="0" layoutInCell="1" allowOverlap="1">
                  <wp:simplePos x="0" y="0"/>
                  <wp:positionH relativeFrom="column">
                    <wp:posOffset>2943225</wp:posOffset>
                  </wp:positionH>
                  <wp:positionV relativeFrom="paragraph">
                    <wp:posOffset>120015</wp:posOffset>
                  </wp:positionV>
                  <wp:extent cx="990600" cy="438150"/>
                  <wp:effectExtent l="0" t="0" r="0" b="3810"/>
                  <wp:wrapSquare wrapText="bothSides"/>
                  <wp:docPr id="67" name="图片 67" descr="1623989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1623989158(1)"/>
                          <pic:cNvPicPr>
                            <a:picLocks noChangeAspect="1"/>
                          </pic:cNvPicPr>
                        </pic:nvPicPr>
                        <pic:blipFill>
                          <a:blip r:embed="rId10"/>
                          <a:stretch>
                            <a:fillRect/>
                          </a:stretch>
                        </pic:blipFill>
                        <pic:spPr>
                          <a:xfrm>
                            <a:off x="0" y="0"/>
                            <a:ext cx="990600" cy="438150"/>
                          </a:xfrm>
                          <a:prstGeom prst="rect">
                            <a:avLst/>
                          </a:prstGeom>
                        </pic:spPr>
                      </pic:pic>
                    </a:graphicData>
                  </a:graphic>
                </wp:anchor>
              </w:drawing>
            </w:r>
          </w:p>
        </w:tc>
      </w:tr>
    </w:tbl>
    <w:p>
      <w:pPr>
        <w:spacing w:line="360" w:lineRule="auto"/>
        <w:outlineLvl w:val="9"/>
        <w:rPr>
          <w:rFonts w:hint="default" w:ascii="Times New Roman" w:hAnsi="Times New Roman" w:eastAsia="宋体" w:cs="Times New Roman"/>
          <w:color w:val="auto"/>
          <w:sz w:val="32"/>
          <w:szCs w:val="32"/>
        </w:rPr>
        <w:sectPr>
          <w:pgSz w:w="11906" w:h="16838"/>
          <w:pgMar w:top="1134" w:right="1417" w:bottom="1134" w:left="1417" w:header="851" w:footer="992" w:gutter="0"/>
          <w:cols w:space="0" w:num="1"/>
          <w:docGrid w:type="lines" w:linePitch="319" w:charSpace="0"/>
        </w:sectPr>
      </w:pPr>
    </w:p>
    <w:p>
      <w:pPr>
        <w:spacing w:line="360" w:lineRule="auto"/>
        <w:outlineLvl w:val="0"/>
        <w:rPr>
          <w:rFonts w:hint="eastAsia" w:asciiTheme="minorEastAsia" w:hAnsiTheme="minorEastAsia" w:eastAsiaTheme="minorEastAsia" w:cstheme="minorEastAsia"/>
          <w:color w:val="auto"/>
          <w:sz w:val="28"/>
          <w:szCs w:val="28"/>
        </w:rPr>
      </w:pPr>
      <w:bookmarkStart w:id="99" w:name="_Toc23422"/>
      <w:bookmarkStart w:id="100" w:name="_Toc6864"/>
      <w:bookmarkStart w:id="101" w:name="_Toc8095"/>
      <w:r>
        <w:rPr>
          <w:rFonts w:hint="eastAsia" w:asciiTheme="minorEastAsia" w:hAnsiTheme="minorEastAsia" w:eastAsiaTheme="minorEastAsia" w:cstheme="minorEastAsia"/>
          <w:color w:val="auto"/>
          <w:sz w:val="28"/>
          <w:szCs w:val="28"/>
        </w:rPr>
        <w:t>附件</w:t>
      </w:r>
      <w:r>
        <w:rPr>
          <w:rFonts w:hint="eastAsia" w:asciiTheme="minorEastAsia" w:hAnsiTheme="minorEastAsia" w:eastAsiaTheme="minorEastAsia" w:cstheme="minorEastAsia"/>
          <w:color w:val="auto"/>
          <w:sz w:val="28"/>
          <w:szCs w:val="28"/>
          <w:lang w:val="en-US" w:eastAsia="zh-CN"/>
        </w:rPr>
        <w:t>4</w:t>
      </w:r>
      <w:r>
        <w:rPr>
          <w:rFonts w:hint="eastAsia" w:asciiTheme="minorEastAsia" w:hAnsiTheme="minorEastAsia" w:eastAsiaTheme="minorEastAsia" w:cstheme="minorEastAsia"/>
          <w:color w:val="auto"/>
          <w:sz w:val="28"/>
          <w:szCs w:val="28"/>
        </w:rPr>
        <w:t>：绩效评价报告专家评审表</w:t>
      </w:r>
      <w:bookmarkEnd w:id="99"/>
      <w:bookmarkEnd w:id="100"/>
      <w:bookmarkEnd w:id="101"/>
    </w:p>
    <w:p>
      <w:pPr>
        <w:spacing w:line="240" w:lineRule="auto"/>
        <w:jc w:val="center"/>
        <w:outlineLvl w:val="9"/>
        <w:rPr>
          <w:rFonts w:hint="default" w:asciiTheme="minorEastAsia" w:hAnsiTheme="minorEastAsia" w:eastAsiaTheme="minorEastAsia" w:cstheme="minorEastAsia"/>
          <w:b/>
          <w:bCs/>
          <w:color w:val="auto"/>
          <w:sz w:val="24"/>
          <w:szCs w:val="24"/>
          <w:lang w:val="en-US" w:eastAsia="zh-CN"/>
        </w:rPr>
      </w:pPr>
      <w:bookmarkStart w:id="102" w:name="_Toc31390"/>
      <w:bookmarkStart w:id="103" w:name="_Toc7751"/>
      <w:r>
        <w:rPr>
          <w:rFonts w:hint="default" w:asciiTheme="minorEastAsia" w:hAnsiTheme="minorEastAsia" w:eastAsiaTheme="minorEastAsia" w:cstheme="minorEastAsia"/>
          <w:b/>
          <w:bCs/>
          <w:color w:val="auto"/>
          <w:sz w:val="24"/>
          <w:szCs w:val="24"/>
          <w:lang w:val="en-US" w:eastAsia="zh-CN"/>
        </w:rPr>
        <w:t>绩效评价报告专家评审表</w:t>
      </w:r>
      <w:bookmarkEnd w:id="102"/>
      <w:bookmarkEnd w:id="103"/>
    </w:p>
    <w:p>
      <w:pPr>
        <w:spacing w:line="240" w:lineRule="auto"/>
        <w:rPr>
          <w:rFonts w:hint="default" w:ascii="Times New Roman" w:hAnsi="Times New Roman" w:eastAsia="宋体" w:cs="Times New Roman"/>
          <w:color w:val="auto"/>
          <w:sz w:val="21"/>
          <w:szCs w:val="21"/>
          <w:lang w:eastAsia="zh-CN" w:bidi="ar"/>
        </w:rPr>
      </w:pPr>
      <w:r>
        <w:rPr>
          <w:rFonts w:hint="default" w:ascii="Times New Roman" w:hAnsi="Times New Roman" w:eastAsia="宋体" w:cs="Times New Roman"/>
          <w:color w:val="auto"/>
          <w:sz w:val="21"/>
          <w:szCs w:val="21"/>
          <w:lang w:bidi="ar"/>
        </w:rPr>
        <w:t>项目名称：</w:t>
      </w:r>
      <w:r>
        <w:rPr>
          <w:rFonts w:hint="eastAsia" w:cs="Times New Roman"/>
          <w:color w:val="auto"/>
          <w:sz w:val="21"/>
          <w:szCs w:val="21"/>
          <w:lang w:val="en-US" w:eastAsia="zh-CN" w:bidi="ar"/>
        </w:rPr>
        <w:t>双鸭山市水务局2021年单位资金管理情况</w:t>
      </w:r>
    </w:p>
    <w:tbl>
      <w:tblPr>
        <w:tblStyle w:val="12"/>
        <w:tblW w:w="9614" w:type="dxa"/>
        <w:tblInd w:w="-283" w:type="dxa"/>
        <w:tblLayout w:type="fixed"/>
        <w:tblCellMar>
          <w:top w:w="0" w:type="dxa"/>
          <w:left w:w="108" w:type="dxa"/>
          <w:bottom w:w="0" w:type="dxa"/>
          <w:right w:w="108" w:type="dxa"/>
        </w:tblCellMar>
      </w:tblPr>
      <w:tblGrid>
        <w:gridCol w:w="704"/>
        <w:gridCol w:w="1231"/>
        <w:gridCol w:w="1222"/>
        <w:gridCol w:w="705"/>
        <w:gridCol w:w="4512"/>
        <w:gridCol w:w="644"/>
        <w:gridCol w:w="596"/>
      </w:tblGrid>
      <w:tr>
        <w:tblPrEx>
          <w:tblCellMar>
            <w:top w:w="0" w:type="dxa"/>
            <w:left w:w="108" w:type="dxa"/>
            <w:bottom w:w="0" w:type="dxa"/>
            <w:right w:w="108" w:type="dxa"/>
          </w:tblCellMar>
        </w:tblPrEx>
        <w:trPr>
          <w:trHeight w:val="542"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lang w:bidi="ar"/>
              </w:rPr>
              <w:t>序号</w:t>
            </w:r>
          </w:p>
        </w:tc>
        <w:tc>
          <w:tcPr>
            <w:tcW w:w="12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lang w:bidi="ar"/>
              </w:rPr>
              <w:t>评审类别</w:t>
            </w:r>
          </w:p>
        </w:tc>
        <w:tc>
          <w:tcPr>
            <w:tcW w:w="1222" w:type="dxa"/>
            <w:tcBorders>
              <w:top w:val="single" w:color="000000" w:sz="4" w:space="0"/>
              <w:left w:val="nil"/>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lang w:bidi="ar"/>
              </w:rPr>
              <w:t>评审项目</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lang w:bidi="ar"/>
              </w:rPr>
              <w:t>分值</w:t>
            </w:r>
          </w:p>
        </w:tc>
        <w:tc>
          <w:tcPr>
            <w:tcW w:w="4512" w:type="dxa"/>
            <w:tcBorders>
              <w:top w:val="single" w:color="000000" w:sz="4" w:space="0"/>
              <w:left w:val="nil"/>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lang w:bidi="ar"/>
              </w:rPr>
              <w:t>评审内容及标准</w:t>
            </w:r>
          </w:p>
        </w:tc>
        <w:tc>
          <w:tcPr>
            <w:tcW w:w="64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lang w:bidi="ar"/>
              </w:rPr>
              <w:t>得分</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lang w:bidi="ar"/>
              </w:rPr>
              <w:t>备注</w:t>
            </w:r>
          </w:p>
        </w:tc>
      </w:tr>
      <w:tr>
        <w:tblPrEx>
          <w:tblCellMar>
            <w:top w:w="0" w:type="dxa"/>
            <w:left w:w="108" w:type="dxa"/>
            <w:bottom w:w="0" w:type="dxa"/>
            <w:right w:w="108" w:type="dxa"/>
          </w:tblCellMar>
        </w:tblPrEx>
        <w:trPr>
          <w:trHeight w:val="404" w:hRule="atLeast"/>
        </w:trPr>
        <w:tc>
          <w:tcPr>
            <w:tcW w:w="7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一</w:t>
            </w:r>
          </w:p>
        </w:tc>
        <w:tc>
          <w:tcPr>
            <w:tcW w:w="123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报告架构（10分）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报告结构</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nil"/>
              <w:bottom w:val="single" w:color="000000" w:sz="4" w:space="0"/>
              <w:right w:val="single" w:color="000000" w:sz="4" w:space="0"/>
            </w:tcBorders>
            <w:vAlign w:val="center"/>
          </w:tcPr>
          <w:p>
            <w:pPr>
              <w:spacing w:line="36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报告结构是否合理，是否规范。</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b/>
                <w:bCs/>
                <w:color w:val="auto"/>
                <w:sz w:val="21"/>
                <w:szCs w:val="21"/>
              </w:rPr>
            </w:pPr>
          </w:p>
        </w:tc>
      </w:tr>
      <w:tr>
        <w:tblPrEx>
          <w:tblCellMar>
            <w:top w:w="0" w:type="dxa"/>
            <w:left w:w="108" w:type="dxa"/>
            <w:bottom w:w="0" w:type="dxa"/>
            <w:right w:w="108" w:type="dxa"/>
          </w:tblCellMar>
        </w:tblPrEx>
        <w:trPr>
          <w:trHeight w:val="369"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文字水平</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nil"/>
              <w:bottom w:val="single" w:color="000000" w:sz="4" w:space="0"/>
              <w:right w:val="single" w:color="000000" w:sz="4" w:space="0"/>
            </w:tcBorders>
            <w:vAlign w:val="center"/>
          </w:tcPr>
          <w:p>
            <w:pPr>
              <w:spacing w:line="36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报告文字是否精炼，是否简洁。</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lang w:eastAsia="zh-CN"/>
              </w:rPr>
            </w:pPr>
            <w:r>
              <w:rPr>
                <w:rFonts w:hint="eastAsia" w:ascii="宋体" w:hAnsi="宋体" w:cs="宋体"/>
                <w:color w:val="auto"/>
                <w:sz w:val="23"/>
                <w:szCs w:val="23"/>
                <w:lang w:bidi="ar"/>
              </w:rPr>
              <w:t>4</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b/>
                <w:bCs/>
                <w:color w:val="auto"/>
                <w:sz w:val="21"/>
                <w:szCs w:val="21"/>
              </w:rPr>
            </w:pPr>
          </w:p>
        </w:tc>
      </w:tr>
      <w:tr>
        <w:tblPrEx>
          <w:tblCellMar>
            <w:top w:w="0" w:type="dxa"/>
            <w:left w:w="108" w:type="dxa"/>
            <w:bottom w:w="0" w:type="dxa"/>
            <w:right w:w="108" w:type="dxa"/>
          </w:tblCellMar>
        </w:tblPrEx>
        <w:trPr>
          <w:trHeight w:val="350" w:hRule="atLeast"/>
        </w:trPr>
        <w:tc>
          <w:tcPr>
            <w:tcW w:w="7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二</w:t>
            </w:r>
          </w:p>
        </w:tc>
        <w:tc>
          <w:tcPr>
            <w:tcW w:w="123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报告内容（40分）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项目概况</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是否有项目概况介绍，描述是否清楚。</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62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绩效目标</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是否有被评价项目的绩效目标，描述是否清楚。</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62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评分依据</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有无对评价工作依据政策文件的描述，依据是否充分。</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69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评价工作 开展</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有无对评价工作开展情况的介绍，工作开展流程是否科学，方式方法是否恰当。</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56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项目绩效</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有无对项目实施取得成效的描述，是否全面客观。</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69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评价得分 分析</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有无对绩效指标的评价得分分析，分析是否具体，理由是否充分。</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69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nil"/>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指出问题</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有无指出被评价项目存在的问题或不足，是否客观公正。</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96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nil"/>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提出建议</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5</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有无针对指出的问题提出相关建议，建议能否为问题后续整改、项目改进管理提供参考，可操作性如何，是否过于笼统。</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740" w:hRule="atLeast"/>
        </w:trPr>
        <w:tc>
          <w:tcPr>
            <w:tcW w:w="7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三</w:t>
            </w:r>
          </w:p>
        </w:tc>
        <w:tc>
          <w:tcPr>
            <w:tcW w:w="123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指标体系（30分）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指标设计</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10</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指标体系中各具体指标的设计是否科学合理，符合项目特点。</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3"/>
                <w:szCs w:val="23"/>
                <w:lang w:bidi="ar"/>
              </w:rPr>
              <w:t>9</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60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权重分配</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10</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各评价指标权重的分配是否合理，是否符合实际情况。</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10</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797"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标准值设定</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10</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各评价指标的标准值设定是否合理，依据是否充分。</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10</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1035"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四</w:t>
            </w:r>
          </w:p>
        </w:tc>
        <w:tc>
          <w:tcPr>
            <w:tcW w:w="12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满意度调查（10分）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满意度调查</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10</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有无针对项目特点开展满意度调查工作，满意度调查工作开展是否合适恰当，调查结果在报告中有无体现，有无得到充分运用。</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10</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690"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五</w:t>
            </w:r>
          </w:p>
        </w:tc>
        <w:tc>
          <w:tcPr>
            <w:tcW w:w="1231" w:type="dxa"/>
            <w:tcBorders>
              <w:top w:val="single" w:color="000000" w:sz="4" w:space="0"/>
              <w:left w:val="single" w:color="000000" w:sz="4" w:space="0"/>
              <w:bottom w:val="nil"/>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总体印象（10分）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总体印象</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10</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专家对本项目的绩效评价报告及第三方机构开展绩效评价工作的总体印象如何。</w:t>
            </w: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rPr>
            </w:pPr>
            <w:r>
              <w:rPr>
                <w:rFonts w:hint="eastAsia" w:ascii="宋体" w:hAnsi="宋体" w:cs="宋体"/>
                <w:color w:val="auto"/>
                <w:sz w:val="23"/>
                <w:szCs w:val="23"/>
                <w:lang w:bidi="ar"/>
              </w:rPr>
              <w:t>10</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Theme="minorEastAsia" w:hAnsiTheme="minorEastAsia" w:eastAsiaTheme="minorEastAsia" w:cstheme="minorEastAsia"/>
                <w:color w:val="auto"/>
                <w:sz w:val="21"/>
                <w:szCs w:val="21"/>
              </w:rPr>
            </w:pPr>
          </w:p>
        </w:tc>
      </w:tr>
      <w:tr>
        <w:tblPrEx>
          <w:tblCellMar>
            <w:top w:w="0" w:type="dxa"/>
            <w:left w:w="108" w:type="dxa"/>
            <w:bottom w:w="0" w:type="dxa"/>
            <w:right w:w="108" w:type="dxa"/>
          </w:tblCellMar>
        </w:tblPrEx>
        <w:trPr>
          <w:trHeight w:val="463" w:hRule="atLeast"/>
        </w:trPr>
        <w:tc>
          <w:tcPr>
            <w:tcW w:w="3157"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合计</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100</w:t>
            </w:r>
          </w:p>
        </w:tc>
        <w:tc>
          <w:tcPr>
            <w:tcW w:w="451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rPr>
                <w:rFonts w:hint="eastAsia" w:asciiTheme="minorEastAsia" w:hAnsiTheme="minorEastAsia" w:eastAsiaTheme="minorEastAsia" w:cstheme="minorEastAsia"/>
                <w:color w:val="auto"/>
                <w:sz w:val="21"/>
                <w:szCs w:val="21"/>
              </w:rPr>
            </w:pPr>
          </w:p>
        </w:tc>
        <w:tc>
          <w:tcPr>
            <w:tcW w:w="64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3"/>
                <w:szCs w:val="23"/>
                <w:lang w:bidi="ar"/>
              </w:rPr>
              <w:t>98</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rPr>
            </w:pPr>
          </w:p>
        </w:tc>
      </w:tr>
    </w:tbl>
    <w:p>
      <w:pPr>
        <w:spacing w:line="360" w:lineRule="auto"/>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评审专家：</w:t>
      </w:r>
      <w:r>
        <w:rPr>
          <w:rFonts w:hint="eastAsia"/>
          <w:color w:val="auto"/>
          <w:lang w:val="en-US" w:eastAsia="zh-CN"/>
        </w:rPr>
        <w:t>王泽彩 、曹堂哲、林 靖 、高丽婧、张喜娟</w:t>
      </w:r>
      <w:r>
        <w:rPr>
          <w:rFonts w:hint="default" w:ascii="Times New Roman" w:hAnsi="Times New Roman" w:eastAsia="宋体" w:cs="Times New Roman"/>
          <w:color w:val="auto"/>
          <w:sz w:val="24"/>
          <w:szCs w:val="24"/>
          <w:lang w:bidi="ar"/>
        </w:rPr>
        <w:t xml:space="preserve">                         </w:t>
      </w:r>
    </w:p>
    <w:p>
      <w:pPr>
        <w:spacing w:line="360" w:lineRule="auto"/>
        <w:jc w:val="right"/>
        <w:rPr>
          <w:rFonts w:hint="default" w:ascii="Times New Roman" w:hAnsi="Times New Roman" w:eastAsia="宋体" w:cs="Times New Roman"/>
          <w:color w:val="auto"/>
          <w:sz w:val="32"/>
          <w:szCs w:val="32"/>
          <w:lang w:val="en-US" w:eastAsia="zh-CN"/>
        </w:rPr>
      </w:pPr>
      <w:r>
        <w:rPr>
          <w:rFonts w:hint="default" w:ascii="Times New Roman" w:hAnsi="Times New Roman" w:eastAsia="宋体" w:cs="Times New Roman"/>
          <w:color w:val="auto"/>
          <w:sz w:val="24"/>
          <w:szCs w:val="24"/>
          <w:lang w:bidi="ar"/>
        </w:rPr>
        <w:t>日期：</w:t>
      </w:r>
      <w:bookmarkStart w:id="104" w:name="_Toc2433"/>
      <w:r>
        <w:rPr>
          <w:rFonts w:hint="eastAsia" w:cs="Times New Roman"/>
          <w:color w:val="auto"/>
          <w:sz w:val="24"/>
          <w:szCs w:val="24"/>
          <w:lang w:val="en-US" w:eastAsia="zh-CN" w:bidi="ar"/>
        </w:rPr>
        <w:t>2022年12月27日</w:t>
      </w:r>
    </w:p>
    <w:p>
      <w:pPr>
        <w:spacing w:line="360" w:lineRule="auto"/>
        <w:outlineLvl w:val="0"/>
        <w:rPr>
          <w:rFonts w:hint="eastAsia" w:asciiTheme="minorEastAsia" w:hAnsiTheme="minorEastAsia" w:eastAsiaTheme="minorEastAsia" w:cstheme="minorEastAsia"/>
          <w:color w:val="auto"/>
          <w:sz w:val="28"/>
          <w:szCs w:val="28"/>
          <w:lang w:val="en-US" w:eastAsia="zh-CN"/>
        </w:rPr>
      </w:pPr>
      <w:bookmarkStart w:id="105" w:name="_Toc21128"/>
      <w:bookmarkStart w:id="106" w:name="_Toc4262"/>
      <w:r>
        <w:rPr>
          <w:rFonts w:hint="default" w:asciiTheme="minorEastAsia" w:hAnsiTheme="minorEastAsia" w:eastAsiaTheme="minorEastAsia" w:cstheme="minorEastAsia"/>
          <w:color w:val="auto"/>
          <w:sz w:val="28"/>
          <w:szCs w:val="28"/>
        </w:rPr>
        <w:t>附件</w:t>
      </w:r>
      <w:r>
        <w:rPr>
          <w:rFonts w:hint="eastAsia" w:asciiTheme="minorEastAsia" w:hAnsiTheme="minorEastAsia" w:eastAsiaTheme="minorEastAsia" w:cstheme="minorEastAsia"/>
          <w:color w:val="auto"/>
          <w:sz w:val="28"/>
          <w:szCs w:val="28"/>
          <w:lang w:val="en-US" w:eastAsia="zh-CN"/>
        </w:rPr>
        <w:t>5</w:t>
      </w:r>
      <w:r>
        <w:rPr>
          <w:rFonts w:hint="default" w:asciiTheme="minorEastAsia" w:hAnsiTheme="minorEastAsia" w:eastAsiaTheme="minorEastAsia" w:cstheme="minorEastAsia"/>
          <w:color w:val="auto"/>
          <w:sz w:val="28"/>
          <w:szCs w:val="28"/>
        </w:rPr>
        <w:t>：</w:t>
      </w:r>
      <w:bookmarkEnd w:id="104"/>
      <w:bookmarkEnd w:id="105"/>
      <w:bookmarkEnd w:id="106"/>
      <w:r>
        <w:rPr>
          <w:rFonts w:hint="eastAsia" w:asciiTheme="minorEastAsia" w:hAnsiTheme="minorEastAsia" w:eastAsiaTheme="minorEastAsia" w:cstheme="minorEastAsia"/>
          <w:color w:val="auto"/>
          <w:sz w:val="28"/>
          <w:szCs w:val="28"/>
          <w:lang w:val="en-US" w:eastAsia="zh-CN"/>
        </w:rPr>
        <w:t>满意度调查分析</w:t>
      </w:r>
    </w:p>
    <w:p>
      <w:pPr>
        <w:spacing w:line="360" w:lineRule="auto"/>
        <w:ind w:firstLine="640" w:firstLineChars="200"/>
        <w:rPr>
          <w:rFonts w:hint="default" w:ascii="Times New Roman" w:hAnsi="Times New Roman" w:eastAsia="宋体" w:cs="Times New Roman"/>
          <w:color w:val="auto"/>
          <w:sz w:val="32"/>
          <w:szCs w:val="32"/>
          <w:lang w:val="en-US" w:eastAsia="zh-CN" w:bidi="ar"/>
        </w:rPr>
      </w:pPr>
      <w:r>
        <w:rPr>
          <w:rFonts w:hint="eastAsia" w:ascii="Times New Roman" w:hAnsi="Times New Roman" w:eastAsia="宋体" w:cs="Times New Roman"/>
          <w:color w:val="auto"/>
          <w:sz w:val="32"/>
          <w:szCs w:val="32"/>
          <w:lang w:val="en-US" w:eastAsia="zh-CN" w:bidi="ar"/>
        </w:rPr>
        <w:t>针对水务局2021年单位资金管理情况的评价，工作组制作线上调查问卷，共7题，分别对应绩效指标中效果部分三级指标，共回收有效问卷25份，总体满意率99.2%</w:t>
      </w:r>
    </w:p>
    <w:p>
      <w:pPr>
        <w:keepLines w:val="0"/>
        <w:bidi w:val="0"/>
        <w:spacing w:after="400"/>
        <w:ind w:firstLine="160"/>
        <w:jc w:val="center"/>
        <w:rPr>
          <w:rFonts w:hint="eastAsia" w:eastAsia="宋体"/>
          <w:b/>
          <w:color w:val="auto"/>
          <w:sz w:val="32"/>
          <w:lang w:eastAsia="zh-CN"/>
        </w:rPr>
      </w:pPr>
      <w:r>
        <w:rPr>
          <w:rFonts w:hint="eastAsia" w:eastAsia="宋体"/>
          <w:b/>
          <w:color w:val="auto"/>
          <w:sz w:val="32"/>
          <w:lang w:eastAsia="zh-CN"/>
        </w:rPr>
        <w:drawing>
          <wp:inline distT="0" distB="0" distL="114300" distR="114300">
            <wp:extent cx="5756910" cy="2922270"/>
            <wp:effectExtent l="0" t="0" r="3810" b="3810"/>
            <wp:docPr id="37" name="图片 37" descr="a52d78cecb3da09bc08732e25003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a52d78cecb3da09bc08732e25003418"/>
                    <pic:cNvPicPr>
                      <a:picLocks noChangeAspect="1"/>
                    </pic:cNvPicPr>
                  </pic:nvPicPr>
                  <pic:blipFill>
                    <a:blip r:embed="rId11"/>
                    <a:stretch>
                      <a:fillRect/>
                    </a:stretch>
                  </pic:blipFill>
                  <pic:spPr>
                    <a:xfrm>
                      <a:off x="0" y="0"/>
                      <a:ext cx="5756910" cy="2922270"/>
                    </a:xfrm>
                    <a:prstGeom prst="rect">
                      <a:avLst/>
                    </a:prstGeom>
                  </pic:spPr>
                </pic:pic>
              </a:graphicData>
            </a:graphic>
          </wp:inline>
        </w:drawing>
      </w:r>
    </w:p>
    <w:p>
      <w:pPr>
        <w:keepLines w:val="0"/>
        <w:bidi w:val="0"/>
        <w:spacing w:after="400"/>
        <w:ind w:firstLine="160"/>
        <w:jc w:val="center"/>
        <w:rPr>
          <w:color w:val="auto"/>
        </w:rPr>
      </w:pPr>
      <w:r>
        <w:rPr>
          <w:b/>
          <w:color w:val="auto"/>
          <w:sz w:val="32"/>
        </w:rPr>
        <w:t>2021年双鸭山市水务局工作满意度调查</w:t>
      </w:r>
    </w:p>
    <w:p>
      <w:pPr>
        <w:bidi w:val="0"/>
        <w:rPr>
          <w:b/>
          <w:color w:val="auto"/>
          <w:sz w:val="32"/>
        </w:rPr>
      </w:pPr>
      <w:r>
        <w:rPr>
          <w:b w:val="0"/>
          <w:color w:val="auto"/>
          <w:sz w:val="24"/>
        </w:rPr>
        <w:t>1. 水务局处理突发事件的应急处理能力是否有所提高？   [单选题]</w:t>
      </w:r>
    </w:p>
    <w:p>
      <w:pPr>
        <w:bidi w:val="0"/>
        <w:rPr>
          <w:b w:val="0"/>
          <w:color w:val="auto"/>
          <w:sz w:val="24"/>
        </w:rPr>
      </w:pP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1099"/>
        <w:gridCol w:w="4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选项</w:t>
            </w:r>
          </w:p>
        </w:tc>
        <w:tc>
          <w:tcPr>
            <w:tcW w:w="1099" w:type="dxa"/>
            <w:shd w:val="clear" w:color="auto" w:fill="auto"/>
            <w:vAlign w:val="center"/>
          </w:tcPr>
          <w:p>
            <w:pPr>
              <w:bidi w:val="0"/>
              <w:jc w:val="center"/>
              <w:rPr>
                <w:color w:val="auto"/>
              </w:rPr>
            </w:pPr>
            <w:r>
              <w:rPr>
                <w:color w:val="auto"/>
              </w:rPr>
              <w:t>小计</w:t>
            </w:r>
          </w:p>
        </w:tc>
        <w:tc>
          <w:tcPr>
            <w:tcW w:w="4912" w:type="dxa"/>
            <w:shd w:val="clear" w:color="auto" w:fill="auto"/>
            <w:vAlign w:val="center"/>
          </w:tcPr>
          <w:p>
            <w:pPr>
              <w:bidi w:val="0"/>
              <w:jc w:val="left"/>
              <w:rPr>
                <w:color w:val="auto"/>
              </w:rPr>
            </w:pPr>
            <w:r>
              <w:rPr>
                <w:color w:val="auto"/>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FFFFFF"/>
            <w:vAlign w:val="center"/>
          </w:tcPr>
          <w:p>
            <w:pPr>
              <w:bidi w:val="0"/>
              <w:jc w:val="left"/>
              <w:rPr>
                <w:color w:val="auto"/>
              </w:rPr>
            </w:pPr>
            <w:r>
              <w:rPr>
                <w:color w:val="auto"/>
              </w:rPr>
              <w:t>有所提高</w:t>
            </w:r>
          </w:p>
        </w:tc>
        <w:tc>
          <w:tcPr>
            <w:tcW w:w="1099" w:type="dxa"/>
            <w:shd w:val="clear" w:color="auto" w:fill="FFFFFF"/>
            <w:vAlign w:val="center"/>
          </w:tcPr>
          <w:p>
            <w:pPr>
              <w:bidi w:val="0"/>
              <w:jc w:val="center"/>
              <w:rPr>
                <w:color w:val="auto"/>
              </w:rPr>
            </w:pPr>
            <w:r>
              <w:rPr>
                <w:color w:val="auto"/>
              </w:rPr>
              <w:t>25</w:t>
            </w:r>
          </w:p>
        </w:tc>
        <w:tc>
          <w:tcPr>
            <w:tcW w:w="4912"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
                          <pic:cNvPicPr>
                            <a:picLocks noChangeAspect="1"/>
                          </pic:cNvPicPr>
                        </pic:nvPicPr>
                        <pic:blipFill>
                          <a:blip r:embed="rId12"/>
                          <a:stretch>
                            <a:fillRect/>
                          </a:stretch>
                        </pic:blipFill>
                        <pic:spPr>
                          <a:xfrm>
                            <a:off x="0" y="0"/>
                            <a:ext cx="1352550" cy="114300"/>
                          </a:xfrm>
                          <a:prstGeom prst="rect">
                            <a:avLst/>
                          </a:prstGeom>
                          <a:noFill/>
                          <a:ln>
                            <a:noFill/>
                          </a:ln>
                        </pic:spPr>
                      </pic:pic>
                    </a:graphicData>
                  </a:graphic>
                </wp:inline>
              </w:drawing>
            </w:r>
            <w:r>
              <w:rPr>
                <w:color w:val="auto"/>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没有提高</w:t>
            </w:r>
          </w:p>
        </w:tc>
        <w:tc>
          <w:tcPr>
            <w:tcW w:w="1099" w:type="dxa"/>
            <w:shd w:val="clear" w:color="auto" w:fill="auto"/>
            <w:vAlign w:val="center"/>
          </w:tcPr>
          <w:p>
            <w:pPr>
              <w:bidi w:val="0"/>
              <w:jc w:val="center"/>
              <w:rPr>
                <w:color w:val="auto"/>
              </w:rPr>
            </w:pPr>
            <w:r>
              <w:rPr>
                <w:color w:val="auto"/>
              </w:rPr>
              <w:t>0</w:t>
            </w:r>
          </w:p>
        </w:tc>
        <w:tc>
          <w:tcPr>
            <w:tcW w:w="4912" w:type="dxa"/>
            <w:shd w:val="clear" w:color="auto" w:fill="auto"/>
            <w:vAlign w:val="center"/>
          </w:tcPr>
          <w:p>
            <w:pPr>
              <w:bidi w:val="0"/>
              <w:jc w:val="left"/>
              <w:rPr>
                <w:color w:val="auto"/>
              </w:rPr>
            </w:pPr>
            <w:r>
              <w:rPr>
                <w:color w:val="auto"/>
              </w:rPr>
              <w:drawing>
                <wp:inline distT="0" distB="0" distL="114300" distR="114300">
                  <wp:extent cx="1352550" cy="114300"/>
                  <wp:effectExtent l="0" t="0" r="3810" b="7620"/>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FFFFFF"/>
            <w:vAlign w:val="center"/>
          </w:tcPr>
          <w:p>
            <w:pPr>
              <w:bidi w:val="0"/>
              <w:jc w:val="left"/>
              <w:rPr>
                <w:color w:val="auto"/>
              </w:rPr>
            </w:pPr>
            <w:r>
              <w:rPr>
                <w:color w:val="auto"/>
              </w:rPr>
              <w:t>不关注</w:t>
            </w:r>
          </w:p>
        </w:tc>
        <w:tc>
          <w:tcPr>
            <w:tcW w:w="1099" w:type="dxa"/>
            <w:shd w:val="clear" w:color="auto" w:fill="FFFFFF"/>
            <w:vAlign w:val="center"/>
          </w:tcPr>
          <w:p>
            <w:pPr>
              <w:bidi w:val="0"/>
              <w:jc w:val="center"/>
              <w:rPr>
                <w:color w:val="auto"/>
              </w:rPr>
            </w:pPr>
            <w:r>
              <w:rPr>
                <w:color w:val="auto"/>
              </w:rPr>
              <w:t>0</w:t>
            </w:r>
          </w:p>
        </w:tc>
        <w:tc>
          <w:tcPr>
            <w:tcW w:w="4912"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本题有效填写人次</w:t>
            </w:r>
          </w:p>
        </w:tc>
        <w:tc>
          <w:tcPr>
            <w:tcW w:w="1099" w:type="dxa"/>
            <w:shd w:val="clear" w:color="auto" w:fill="auto"/>
            <w:vAlign w:val="center"/>
          </w:tcPr>
          <w:p>
            <w:pPr>
              <w:bidi w:val="0"/>
              <w:jc w:val="center"/>
              <w:rPr>
                <w:color w:val="auto"/>
              </w:rPr>
            </w:pPr>
            <w:r>
              <w:rPr>
                <w:color w:val="auto"/>
              </w:rPr>
              <w:t>25</w:t>
            </w:r>
          </w:p>
        </w:tc>
        <w:tc>
          <w:tcPr>
            <w:tcW w:w="4912" w:type="dxa"/>
            <w:shd w:val="clear" w:color="auto" w:fill="auto"/>
            <w:vAlign w:val="center"/>
          </w:tcPr>
          <w:p>
            <w:pPr>
              <w:bidi w:val="0"/>
              <w:jc w:val="left"/>
              <w:rPr>
                <w:color w:val="auto"/>
              </w:rPr>
            </w:pPr>
          </w:p>
        </w:tc>
      </w:tr>
    </w:tbl>
    <w:p>
      <w:pPr>
        <w:bidi w:val="0"/>
        <w:rPr>
          <w:color w:val="auto"/>
        </w:rPr>
      </w:pPr>
    </w:p>
    <w:p>
      <w:pPr>
        <w:bidi w:val="0"/>
        <w:rPr>
          <w:color w:val="auto"/>
        </w:rPr>
      </w:pPr>
    </w:p>
    <w:p>
      <w:pPr>
        <w:bidi w:val="0"/>
        <w:rPr>
          <w:color w:val="auto"/>
        </w:rPr>
      </w:pPr>
      <w:r>
        <w:rPr>
          <w:b w:val="0"/>
          <w:color w:val="auto"/>
          <w:sz w:val="24"/>
        </w:rPr>
        <w:t>2.水务局保障群众饮水安全方面是否有所提高？   [单选题]</w:t>
      </w:r>
    </w:p>
    <w:p>
      <w:pPr>
        <w:bidi w:val="0"/>
        <w:rPr>
          <w:b w:val="0"/>
          <w:color w:val="auto"/>
          <w:sz w:val="24"/>
        </w:rPr>
      </w:pP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1099"/>
        <w:gridCol w:w="4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选项</w:t>
            </w:r>
          </w:p>
        </w:tc>
        <w:tc>
          <w:tcPr>
            <w:tcW w:w="1099" w:type="dxa"/>
            <w:shd w:val="clear" w:color="auto" w:fill="auto"/>
            <w:vAlign w:val="center"/>
          </w:tcPr>
          <w:p>
            <w:pPr>
              <w:bidi w:val="0"/>
              <w:jc w:val="center"/>
              <w:rPr>
                <w:color w:val="auto"/>
              </w:rPr>
            </w:pPr>
            <w:r>
              <w:rPr>
                <w:color w:val="auto"/>
              </w:rPr>
              <w:t>小计</w:t>
            </w:r>
          </w:p>
        </w:tc>
        <w:tc>
          <w:tcPr>
            <w:tcW w:w="4912" w:type="dxa"/>
            <w:shd w:val="clear" w:color="auto" w:fill="auto"/>
            <w:vAlign w:val="center"/>
          </w:tcPr>
          <w:p>
            <w:pPr>
              <w:bidi w:val="0"/>
              <w:jc w:val="left"/>
              <w:rPr>
                <w:color w:val="auto"/>
              </w:rPr>
            </w:pPr>
            <w:r>
              <w:rPr>
                <w:color w:val="auto"/>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FFFFFF"/>
            <w:vAlign w:val="center"/>
          </w:tcPr>
          <w:p>
            <w:pPr>
              <w:bidi w:val="0"/>
              <w:jc w:val="left"/>
              <w:rPr>
                <w:color w:val="auto"/>
              </w:rPr>
            </w:pPr>
            <w:r>
              <w:rPr>
                <w:color w:val="auto"/>
              </w:rPr>
              <w:t>有所提高</w:t>
            </w:r>
          </w:p>
        </w:tc>
        <w:tc>
          <w:tcPr>
            <w:tcW w:w="1099" w:type="dxa"/>
            <w:shd w:val="clear" w:color="auto" w:fill="FFFFFF"/>
            <w:vAlign w:val="center"/>
          </w:tcPr>
          <w:p>
            <w:pPr>
              <w:bidi w:val="0"/>
              <w:jc w:val="center"/>
              <w:rPr>
                <w:color w:val="auto"/>
              </w:rPr>
            </w:pPr>
            <w:r>
              <w:rPr>
                <w:color w:val="auto"/>
              </w:rPr>
              <w:t>25</w:t>
            </w:r>
          </w:p>
        </w:tc>
        <w:tc>
          <w:tcPr>
            <w:tcW w:w="4912"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12"/>
                          <a:stretch>
                            <a:fillRect/>
                          </a:stretch>
                        </pic:blipFill>
                        <pic:spPr>
                          <a:xfrm>
                            <a:off x="0" y="0"/>
                            <a:ext cx="1352550" cy="114300"/>
                          </a:xfrm>
                          <a:prstGeom prst="rect">
                            <a:avLst/>
                          </a:prstGeom>
                          <a:noFill/>
                          <a:ln>
                            <a:noFill/>
                          </a:ln>
                        </pic:spPr>
                      </pic:pic>
                    </a:graphicData>
                  </a:graphic>
                </wp:inline>
              </w:drawing>
            </w:r>
            <w:r>
              <w:rPr>
                <w:color w:val="auto"/>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没有提高</w:t>
            </w:r>
          </w:p>
        </w:tc>
        <w:tc>
          <w:tcPr>
            <w:tcW w:w="1099" w:type="dxa"/>
            <w:shd w:val="clear" w:color="auto" w:fill="auto"/>
            <w:vAlign w:val="center"/>
          </w:tcPr>
          <w:p>
            <w:pPr>
              <w:bidi w:val="0"/>
              <w:jc w:val="center"/>
              <w:rPr>
                <w:color w:val="auto"/>
              </w:rPr>
            </w:pPr>
            <w:r>
              <w:rPr>
                <w:color w:val="auto"/>
              </w:rPr>
              <w:t>0</w:t>
            </w:r>
          </w:p>
        </w:tc>
        <w:tc>
          <w:tcPr>
            <w:tcW w:w="4912" w:type="dxa"/>
            <w:shd w:val="clear" w:color="auto" w:fill="auto"/>
            <w:vAlign w:val="center"/>
          </w:tcPr>
          <w:p>
            <w:pPr>
              <w:bidi w:val="0"/>
              <w:jc w:val="left"/>
              <w:rPr>
                <w:color w:val="auto"/>
              </w:rPr>
            </w:pPr>
            <w:r>
              <w:rPr>
                <w:color w:val="auto"/>
              </w:rPr>
              <w:drawing>
                <wp:inline distT="0" distB="0" distL="114300" distR="114300">
                  <wp:extent cx="1352550" cy="114300"/>
                  <wp:effectExtent l="0" t="0" r="3810" b="7620"/>
                  <wp:docPr id="2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FFFFFF"/>
            <w:vAlign w:val="center"/>
          </w:tcPr>
          <w:p>
            <w:pPr>
              <w:bidi w:val="0"/>
              <w:jc w:val="left"/>
              <w:rPr>
                <w:color w:val="auto"/>
              </w:rPr>
            </w:pPr>
            <w:r>
              <w:rPr>
                <w:color w:val="auto"/>
              </w:rPr>
              <w:t>不关注</w:t>
            </w:r>
          </w:p>
        </w:tc>
        <w:tc>
          <w:tcPr>
            <w:tcW w:w="1099" w:type="dxa"/>
            <w:shd w:val="clear" w:color="auto" w:fill="FFFFFF"/>
            <w:vAlign w:val="center"/>
          </w:tcPr>
          <w:p>
            <w:pPr>
              <w:bidi w:val="0"/>
              <w:jc w:val="center"/>
              <w:rPr>
                <w:color w:val="auto"/>
              </w:rPr>
            </w:pPr>
            <w:r>
              <w:rPr>
                <w:color w:val="auto"/>
              </w:rPr>
              <w:t>0</w:t>
            </w:r>
          </w:p>
        </w:tc>
        <w:tc>
          <w:tcPr>
            <w:tcW w:w="4912"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本题有效填写人次</w:t>
            </w:r>
          </w:p>
        </w:tc>
        <w:tc>
          <w:tcPr>
            <w:tcW w:w="1099" w:type="dxa"/>
            <w:shd w:val="clear" w:color="auto" w:fill="auto"/>
            <w:vAlign w:val="center"/>
          </w:tcPr>
          <w:p>
            <w:pPr>
              <w:bidi w:val="0"/>
              <w:jc w:val="center"/>
              <w:rPr>
                <w:color w:val="auto"/>
              </w:rPr>
            </w:pPr>
            <w:r>
              <w:rPr>
                <w:color w:val="auto"/>
              </w:rPr>
              <w:t>25</w:t>
            </w:r>
          </w:p>
        </w:tc>
        <w:tc>
          <w:tcPr>
            <w:tcW w:w="4912" w:type="dxa"/>
            <w:shd w:val="clear" w:color="auto" w:fill="auto"/>
            <w:vAlign w:val="center"/>
          </w:tcPr>
          <w:p>
            <w:pPr>
              <w:bidi w:val="0"/>
              <w:jc w:val="left"/>
              <w:rPr>
                <w:color w:val="auto"/>
              </w:rPr>
            </w:pPr>
          </w:p>
        </w:tc>
      </w:tr>
    </w:tbl>
    <w:p>
      <w:pPr>
        <w:bidi w:val="0"/>
        <w:rPr>
          <w:color w:val="auto"/>
        </w:rPr>
      </w:pPr>
    </w:p>
    <w:p>
      <w:pPr>
        <w:bidi w:val="0"/>
        <w:rPr>
          <w:color w:val="auto"/>
        </w:rPr>
      </w:pPr>
    </w:p>
    <w:p>
      <w:pPr>
        <w:bidi w:val="0"/>
        <w:rPr>
          <w:color w:val="auto"/>
        </w:rPr>
      </w:pPr>
      <w:r>
        <w:rPr>
          <w:b w:val="0"/>
          <w:color w:val="auto"/>
          <w:sz w:val="24"/>
        </w:rPr>
        <w:t>3.您认为双鸭山市河道、城市管网的治理，在保障群众财产安全方面是否得到提升？   [单选题]</w:t>
      </w:r>
    </w:p>
    <w:p>
      <w:pPr>
        <w:bidi w:val="0"/>
        <w:rPr>
          <w:b w:val="0"/>
          <w:color w:val="auto"/>
          <w:sz w:val="24"/>
        </w:rPr>
      </w:pP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1099"/>
        <w:gridCol w:w="4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选项</w:t>
            </w:r>
          </w:p>
        </w:tc>
        <w:tc>
          <w:tcPr>
            <w:tcW w:w="1099" w:type="dxa"/>
            <w:shd w:val="clear" w:color="auto" w:fill="auto"/>
            <w:vAlign w:val="center"/>
          </w:tcPr>
          <w:p>
            <w:pPr>
              <w:bidi w:val="0"/>
              <w:jc w:val="center"/>
              <w:rPr>
                <w:color w:val="auto"/>
              </w:rPr>
            </w:pPr>
            <w:r>
              <w:rPr>
                <w:color w:val="auto"/>
              </w:rPr>
              <w:t>小计</w:t>
            </w:r>
          </w:p>
        </w:tc>
        <w:tc>
          <w:tcPr>
            <w:tcW w:w="4912" w:type="dxa"/>
            <w:shd w:val="clear" w:color="auto" w:fill="auto"/>
            <w:vAlign w:val="center"/>
          </w:tcPr>
          <w:p>
            <w:pPr>
              <w:bidi w:val="0"/>
              <w:jc w:val="left"/>
              <w:rPr>
                <w:color w:val="auto"/>
              </w:rPr>
            </w:pPr>
            <w:r>
              <w:rPr>
                <w:color w:val="auto"/>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FFFFFF"/>
            <w:vAlign w:val="center"/>
          </w:tcPr>
          <w:p>
            <w:pPr>
              <w:bidi w:val="0"/>
              <w:jc w:val="left"/>
              <w:rPr>
                <w:color w:val="auto"/>
              </w:rPr>
            </w:pPr>
            <w:r>
              <w:rPr>
                <w:color w:val="auto"/>
              </w:rPr>
              <w:t>有所提高</w:t>
            </w:r>
          </w:p>
        </w:tc>
        <w:tc>
          <w:tcPr>
            <w:tcW w:w="1099" w:type="dxa"/>
            <w:shd w:val="clear" w:color="auto" w:fill="FFFFFF"/>
            <w:vAlign w:val="center"/>
          </w:tcPr>
          <w:p>
            <w:pPr>
              <w:bidi w:val="0"/>
              <w:jc w:val="center"/>
              <w:rPr>
                <w:color w:val="auto"/>
              </w:rPr>
            </w:pPr>
            <w:r>
              <w:rPr>
                <w:color w:val="auto"/>
              </w:rPr>
              <w:t>25</w:t>
            </w:r>
          </w:p>
        </w:tc>
        <w:tc>
          <w:tcPr>
            <w:tcW w:w="4912"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12"/>
                          <a:stretch>
                            <a:fillRect/>
                          </a:stretch>
                        </pic:blipFill>
                        <pic:spPr>
                          <a:xfrm>
                            <a:off x="0" y="0"/>
                            <a:ext cx="1352550" cy="114300"/>
                          </a:xfrm>
                          <a:prstGeom prst="rect">
                            <a:avLst/>
                          </a:prstGeom>
                          <a:noFill/>
                          <a:ln>
                            <a:noFill/>
                          </a:ln>
                        </pic:spPr>
                      </pic:pic>
                    </a:graphicData>
                  </a:graphic>
                </wp:inline>
              </w:drawing>
            </w:r>
            <w:r>
              <w:rPr>
                <w:color w:val="auto"/>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没有提高</w:t>
            </w:r>
          </w:p>
        </w:tc>
        <w:tc>
          <w:tcPr>
            <w:tcW w:w="1099" w:type="dxa"/>
            <w:shd w:val="clear" w:color="auto" w:fill="auto"/>
            <w:vAlign w:val="center"/>
          </w:tcPr>
          <w:p>
            <w:pPr>
              <w:bidi w:val="0"/>
              <w:jc w:val="center"/>
              <w:rPr>
                <w:color w:val="auto"/>
              </w:rPr>
            </w:pPr>
            <w:r>
              <w:rPr>
                <w:color w:val="auto"/>
              </w:rPr>
              <w:t>0</w:t>
            </w:r>
          </w:p>
        </w:tc>
        <w:tc>
          <w:tcPr>
            <w:tcW w:w="4912" w:type="dxa"/>
            <w:shd w:val="clear" w:color="auto" w:fill="auto"/>
            <w:vAlign w:val="center"/>
          </w:tcPr>
          <w:p>
            <w:pPr>
              <w:bidi w:val="0"/>
              <w:jc w:val="left"/>
              <w:rPr>
                <w:color w:val="auto"/>
              </w:rPr>
            </w:pPr>
            <w:r>
              <w:rPr>
                <w:color w:val="auto"/>
              </w:rPr>
              <w:drawing>
                <wp:inline distT="0" distB="0" distL="114300" distR="114300">
                  <wp:extent cx="1352550" cy="114300"/>
                  <wp:effectExtent l="0" t="0" r="3810" b="7620"/>
                  <wp:docPr id="2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8"/>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FFFFFF"/>
            <w:vAlign w:val="center"/>
          </w:tcPr>
          <w:p>
            <w:pPr>
              <w:bidi w:val="0"/>
              <w:jc w:val="left"/>
              <w:rPr>
                <w:color w:val="auto"/>
              </w:rPr>
            </w:pPr>
            <w:r>
              <w:rPr>
                <w:color w:val="auto"/>
              </w:rPr>
              <w:t>不关注</w:t>
            </w:r>
          </w:p>
        </w:tc>
        <w:tc>
          <w:tcPr>
            <w:tcW w:w="1099" w:type="dxa"/>
            <w:shd w:val="clear" w:color="auto" w:fill="FFFFFF"/>
            <w:vAlign w:val="center"/>
          </w:tcPr>
          <w:p>
            <w:pPr>
              <w:bidi w:val="0"/>
              <w:jc w:val="center"/>
              <w:rPr>
                <w:color w:val="auto"/>
              </w:rPr>
            </w:pPr>
            <w:r>
              <w:rPr>
                <w:color w:val="auto"/>
              </w:rPr>
              <w:t>0</w:t>
            </w:r>
          </w:p>
        </w:tc>
        <w:tc>
          <w:tcPr>
            <w:tcW w:w="4912"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本题有效填写人次</w:t>
            </w:r>
          </w:p>
        </w:tc>
        <w:tc>
          <w:tcPr>
            <w:tcW w:w="1099" w:type="dxa"/>
            <w:shd w:val="clear" w:color="auto" w:fill="auto"/>
            <w:vAlign w:val="center"/>
          </w:tcPr>
          <w:p>
            <w:pPr>
              <w:bidi w:val="0"/>
              <w:jc w:val="center"/>
              <w:rPr>
                <w:color w:val="auto"/>
              </w:rPr>
            </w:pPr>
            <w:r>
              <w:rPr>
                <w:color w:val="auto"/>
              </w:rPr>
              <w:t>25</w:t>
            </w:r>
          </w:p>
        </w:tc>
        <w:tc>
          <w:tcPr>
            <w:tcW w:w="4912" w:type="dxa"/>
            <w:shd w:val="clear" w:color="auto" w:fill="auto"/>
            <w:vAlign w:val="center"/>
          </w:tcPr>
          <w:p>
            <w:pPr>
              <w:bidi w:val="0"/>
              <w:jc w:val="left"/>
              <w:rPr>
                <w:color w:val="auto"/>
              </w:rPr>
            </w:pPr>
          </w:p>
        </w:tc>
      </w:tr>
    </w:tbl>
    <w:p>
      <w:pPr>
        <w:bidi w:val="0"/>
        <w:rPr>
          <w:color w:val="auto"/>
        </w:rPr>
      </w:pPr>
    </w:p>
    <w:p>
      <w:pPr>
        <w:bidi w:val="0"/>
        <w:rPr>
          <w:color w:val="auto"/>
        </w:rPr>
      </w:pPr>
    </w:p>
    <w:p>
      <w:pPr>
        <w:bidi w:val="0"/>
        <w:rPr>
          <w:color w:val="auto"/>
        </w:rPr>
      </w:pPr>
      <w:r>
        <w:rPr>
          <w:b w:val="0"/>
          <w:color w:val="auto"/>
          <w:sz w:val="24"/>
        </w:rPr>
        <w:t>4.您认为双鸭山市水务管理工作是否较上一年度改善了周边环境，提升了生活质量？   [单选题]</w:t>
      </w:r>
    </w:p>
    <w:p>
      <w:pPr>
        <w:bidi w:val="0"/>
        <w:rPr>
          <w:b w:val="0"/>
          <w:color w:val="auto"/>
          <w:sz w:val="24"/>
        </w:rPr>
      </w:pP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2"/>
        <w:gridCol w:w="1121"/>
        <w:gridCol w:w="4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42" w:type="dxa"/>
            <w:shd w:val="clear" w:color="auto" w:fill="auto"/>
            <w:vAlign w:val="center"/>
          </w:tcPr>
          <w:p>
            <w:pPr>
              <w:bidi w:val="0"/>
              <w:jc w:val="left"/>
              <w:rPr>
                <w:color w:val="auto"/>
              </w:rPr>
            </w:pPr>
            <w:r>
              <w:rPr>
                <w:color w:val="auto"/>
              </w:rPr>
              <w:t>选项</w:t>
            </w:r>
          </w:p>
        </w:tc>
        <w:tc>
          <w:tcPr>
            <w:tcW w:w="1121" w:type="dxa"/>
            <w:shd w:val="clear" w:color="auto" w:fill="auto"/>
            <w:vAlign w:val="center"/>
          </w:tcPr>
          <w:p>
            <w:pPr>
              <w:bidi w:val="0"/>
              <w:jc w:val="center"/>
              <w:rPr>
                <w:color w:val="auto"/>
              </w:rPr>
            </w:pPr>
            <w:r>
              <w:rPr>
                <w:color w:val="auto"/>
              </w:rPr>
              <w:t>小计</w:t>
            </w:r>
          </w:p>
        </w:tc>
        <w:tc>
          <w:tcPr>
            <w:tcW w:w="4825" w:type="dxa"/>
            <w:shd w:val="clear" w:color="auto" w:fill="auto"/>
            <w:vAlign w:val="center"/>
          </w:tcPr>
          <w:p>
            <w:pPr>
              <w:bidi w:val="0"/>
              <w:jc w:val="left"/>
              <w:rPr>
                <w:color w:val="auto"/>
              </w:rPr>
            </w:pPr>
            <w:r>
              <w:rPr>
                <w:color w:val="auto"/>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42" w:type="dxa"/>
            <w:shd w:val="clear" w:color="auto" w:fill="FFFFFF"/>
            <w:vAlign w:val="center"/>
          </w:tcPr>
          <w:p>
            <w:pPr>
              <w:bidi w:val="0"/>
              <w:jc w:val="left"/>
              <w:rPr>
                <w:color w:val="auto"/>
              </w:rPr>
            </w:pPr>
            <w:r>
              <w:rPr>
                <w:color w:val="auto"/>
              </w:rPr>
              <w:t>有所提高</w:t>
            </w:r>
          </w:p>
        </w:tc>
        <w:tc>
          <w:tcPr>
            <w:tcW w:w="1121" w:type="dxa"/>
            <w:shd w:val="clear" w:color="auto" w:fill="FFFFFF"/>
            <w:vAlign w:val="center"/>
          </w:tcPr>
          <w:p>
            <w:pPr>
              <w:bidi w:val="0"/>
              <w:jc w:val="center"/>
              <w:rPr>
                <w:color w:val="auto"/>
              </w:rPr>
            </w:pPr>
            <w:r>
              <w:rPr>
                <w:color w:val="auto"/>
              </w:rPr>
              <w:t>24</w:t>
            </w:r>
          </w:p>
        </w:tc>
        <w:tc>
          <w:tcPr>
            <w:tcW w:w="4825" w:type="dxa"/>
            <w:shd w:val="clear" w:color="auto" w:fill="FFFFFF"/>
            <w:vAlign w:val="center"/>
          </w:tcPr>
          <w:p>
            <w:pPr>
              <w:bidi w:val="0"/>
              <w:jc w:val="left"/>
              <w:rPr>
                <w:color w:val="auto"/>
              </w:rPr>
            </w:pPr>
            <w:r>
              <w:rPr>
                <w:color w:val="auto"/>
              </w:rPr>
              <w:drawing>
                <wp:inline distT="0" distB="0" distL="114300" distR="114300">
                  <wp:extent cx="1295400" cy="114300"/>
                  <wp:effectExtent l="0" t="0" r="0" b="7620"/>
                  <wp:docPr id="3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
                          <pic:cNvPicPr>
                            <a:picLocks noChangeAspect="1"/>
                          </pic:cNvPicPr>
                        </pic:nvPicPr>
                        <pic:blipFill>
                          <a:blip r:embed="rId14"/>
                          <a:stretch>
                            <a:fillRect/>
                          </a:stretch>
                        </pic:blipFill>
                        <pic:spPr>
                          <a:xfrm>
                            <a:off x="0" y="0"/>
                            <a:ext cx="1295400" cy="114300"/>
                          </a:xfrm>
                          <a:prstGeom prst="rect">
                            <a:avLst/>
                          </a:prstGeom>
                          <a:noFill/>
                          <a:ln>
                            <a:noFill/>
                          </a:ln>
                        </pic:spPr>
                      </pic:pic>
                    </a:graphicData>
                  </a:graphic>
                </wp:inline>
              </w:drawing>
            </w:r>
            <w:r>
              <w:rPr>
                <w:color w:val="auto"/>
              </w:rPr>
              <w:drawing>
                <wp:inline distT="0" distB="0" distL="114300" distR="114300">
                  <wp:extent cx="57150" cy="114300"/>
                  <wp:effectExtent l="0" t="0" r="3810" b="7620"/>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15"/>
                          <a:stretch>
                            <a:fillRect/>
                          </a:stretch>
                        </pic:blipFill>
                        <pic:spPr>
                          <a:xfrm>
                            <a:off x="0" y="0"/>
                            <a:ext cx="57150" cy="114300"/>
                          </a:xfrm>
                          <a:prstGeom prst="rect">
                            <a:avLst/>
                          </a:prstGeom>
                          <a:noFill/>
                          <a:ln>
                            <a:noFill/>
                          </a:ln>
                        </pic:spPr>
                      </pic:pic>
                    </a:graphicData>
                  </a:graphic>
                </wp:inline>
              </w:drawing>
            </w:r>
            <w:r>
              <w:rPr>
                <w:color w:val="auto"/>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42" w:type="dxa"/>
            <w:shd w:val="clear" w:color="auto" w:fill="auto"/>
            <w:vAlign w:val="center"/>
          </w:tcPr>
          <w:p>
            <w:pPr>
              <w:bidi w:val="0"/>
              <w:jc w:val="left"/>
              <w:rPr>
                <w:color w:val="auto"/>
              </w:rPr>
            </w:pPr>
            <w:r>
              <w:rPr>
                <w:color w:val="auto"/>
              </w:rPr>
              <w:t>没有提高</w:t>
            </w:r>
          </w:p>
        </w:tc>
        <w:tc>
          <w:tcPr>
            <w:tcW w:w="1121" w:type="dxa"/>
            <w:shd w:val="clear" w:color="auto" w:fill="auto"/>
            <w:vAlign w:val="center"/>
          </w:tcPr>
          <w:p>
            <w:pPr>
              <w:bidi w:val="0"/>
              <w:jc w:val="center"/>
              <w:rPr>
                <w:color w:val="auto"/>
              </w:rPr>
            </w:pPr>
            <w:r>
              <w:rPr>
                <w:color w:val="auto"/>
              </w:rPr>
              <w:t>1</w:t>
            </w:r>
          </w:p>
        </w:tc>
        <w:tc>
          <w:tcPr>
            <w:tcW w:w="4825" w:type="dxa"/>
            <w:shd w:val="clear" w:color="auto" w:fill="auto"/>
            <w:vAlign w:val="center"/>
          </w:tcPr>
          <w:p>
            <w:pPr>
              <w:bidi w:val="0"/>
              <w:jc w:val="left"/>
              <w:rPr>
                <w:color w:val="auto"/>
              </w:rPr>
            </w:pPr>
            <w:r>
              <w:rPr>
                <w:color w:val="auto"/>
              </w:rPr>
              <w:drawing>
                <wp:inline distT="0" distB="0" distL="114300" distR="114300">
                  <wp:extent cx="47625" cy="114300"/>
                  <wp:effectExtent l="0" t="0" r="13335" b="7620"/>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
                          <pic:cNvPicPr>
                            <a:picLocks noChangeAspect="1"/>
                          </pic:cNvPicPr>
                        </pic:nvPicPr>
                        <pic:blipFill>
                          <a:blip r:embed="rId16"/>
                          <a:stretch>
                            <a:fillRect/>
                          </a:stretch>
                        </pic:blipFill>
                        <pic:spPr>
                          <a:xfrm>
                            <a:off x="0" y="0"/>
                            <a:ext cx="47625" cy="114300"/>
                          </a:xfrm>
                          <a:prstGeom prst="rect">
                            <a:avLst/>
                          </a:prstGeom>
                          <a:noFill/>
                          <a:ln>
                            <a:noFill/>
                          </a:ln>
                        </pic:spPr>
                      </pic:pic>
                    </a:graphicData>
                  </a:graphic>
                </wp:inline>
              </w:drawing>
            </w:r>
            <w:r>
              <w:rPr>
                <w:color w:val="auto"/>
              </w:rPr>
              <w:drawing>
                <wp:inline distT="0" distB="0" distL="114300" distR="114300">
                  <wp:extent cx="1304925" cy="114300"/>
                  <wp:effectExtent l="0" t="0" r="5715" b="7620"/>
                  <wp:docPr id="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pic:cNvPicPr>
                            <a:picLocks noChangeAspect="1"/>
                          </pic:cNvPicPr>
                        </pic:nvPicPr>
                        <pic:blipFill>
                          <a:blip r:embed="rId17"/>
                          <a:stretch>
                            <a:fillRect/>
                          </a:stretch>
                        </pic:blipFill>
                        <pic:spPr>
                          <a:xfrm>
                            <a:off x="0" y="0"/>
                            <a:ext cx="1304925" cy="114300"/>
                          </a:xfrm>
                          <a:prstGeom prst="rect">
                            <a:avLst/>
                          </a:prstGeom>
                          <a:noFill/>
                          <a:ln>
                            <a:noFill/>
                          </a:ln>
                        </pic:spPr>
                      </pic:pic>
                    </a:graphicData>
                  </a:graphic>
                </wp:inline>
              </w:drawing>
            </w:r>
            <w:r>
              <w:rPr>
                <w:color w:val="auto"/>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42" w:type="dxa"/>
            <w:shd w:val="clear" w:color="auto" w:fill="FFFFFF"/>
            <w:vAlign w:val="center"/>
          </w:tcPr>
          <w:p>
            <w:pPr>
              <w:bidi w:val="0"/>
              <w:jc w:val="left"/>
              <w:rPr>
                <w:color w:val="auto"/>
              </w:rPr>
            </w:pPr>
            <w:r>
              <w:rPr>
                <w:color w:val="auto"/>
              </w:rPr>
              <w:t>不关注</w:t>
            </w:r>
          </w:p>
        </w:tc>
        <w:tc>
          <w:tcPr>
            <w:tcW w:w="1121" w:type="dxa"/>
            <w:shd w:val="clear" w:color="auto" w:fill="FFFFFF"/>
            <w:vAlign w:val="center"/>
          </w:tcPr>
          <w:p>
            <w:pPr>
              <w:bidi w:val="0"/>
              <w:jc w:val="center"/>
              <w:rPr>
                <w:color w:val="auto"/>
              </w:rPr>
            </w:pPr>
            <w:r>
              <w:rPr>
                <w:color w:val="auto"/>
              </w:rPr>
              <w:t>0</w:t>
            </w:r>
          </w:p>
        </w:tc>
        <w:tc>
          <w:tcPr>
            <w:tcW w:w="4825"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42" w:type="dxa"/>
            <w:shd w:val="clear" w:color="auto" w:fill="auto"/>
            <w:vAlign w:val="center"/>
          </w:tcPr>
          <w:p>
            <w:pPr>
              <w:bidi w:val="0"/>
              <w:jc w:val="left"/>
              <w:rPr>
                <w:color w:val="auto"/>
              </w:rPr>
            </w:pPr>
            <w:r>
              <w:rPr>
                <w:color w:val="auto"/>
              </w:rPr>
              <w:t>本题有效填写人次</w:t>
            </w:r>
          </w:p>
        </w:tc>
        <w:tc>
          <w:tcPr>
            <w:tcW w:w="1121" w:type="dxa"/>
            <w:shd w:val="clear" w:color="auto" w:fill="auto"/>
            <w:vAlign w:val="center"/>
          </w:tcPr>
          <w:p>
            <w:pPr>
              <w:bidi w:val="0"/>
              <w:jc w:val="center"/>
              <w:rPr>
                <w:color w:val="auto"/>
              </w:rPr>
            </w:pPr>
            <w:r>
              <w:rPr>
                <w:color w:val="auto"/>
              </w:rPr>
              <w:t>25</w:t>
            </w:r>
          </w:p>
        </w:tc>
        <w:tc>
          <w:tcPr>
            <w:tcW w:w="4825" w:type="dxa"/>
            <w:shd w:val="clear" w:color="auto" w:fill="auto"/>
            <w:vAlign w:val="center"/>
          </w:tcPr>
          <w:p>
            <w:pPr>
              <w:bidi w:val="0"/>
              <w:jc w:val="left"/>
              <w:rPr>
                <w:color w:val="auto"/>
              </w:rPr>
            </w:pPr>
          </w:p>
        </w:tc>
      </w:tr>
    </w:tbl>
    <w:p>
      <w:pPr>
        <w:bidi w:val="0"/>
        <w:rPr>
          <w:color w:val="auto"/>
        </w:rPr>
      </w:pPr>
    </w:p>
    <w:p>
      <w:pPr>
        <w:bidi w:val="0"/>
        <w:rPr>
          <w:color w:val="auto"/>
        </w:rPr>
      </w:pPr>
    </w:p>
    <w:p>
      <w:pPr>
        <w:bidi w:val="0"/>
        <w:rPr>
          <w:color w:val="auto"/>
        </w:rPr>
      </w:pPr>
      <w:r>
        <w:rPr>
          <w:b w:val="0"/>
          <w:color w:val="auto"/>
          <w:sz w:val="24"/>
        </w:rPr>
        <w:t>5.您认为较往年相比防汛抗旱的能力是否有所提高？   [单选题]</w:t>
      </w:r>
    </w:p>
    <w:p>
      <w:pPr>
        <w:bidi w:val="0"/>
        <w:rPr>
          <w:b w:val="0"/>
          <w:color w:val="auto"/>
          <w:sz w:val="24"/>
        </w:rPr>
      </w:pP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1099"/>
        <w:gridCol w:w="4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选项</w:t>
            </w:r>
          </w:p>
        </w:tc>
        <w:tc>
          <w:tcPr>
            <w:tcW w:w="1099" w:type="dxa"/>
            <w:shd w:val="clear" w:color="auto" w:fill="auto"/>
            <w:vAlign w:val="center"/>
          </w:tcPr>
          <w:p>
            <w:pPr>
              <w:bidi w:val="0"/>
              <w:jc w:val="center"/>
              <w:rPr>
                <w:color w:val="auto"/>
              </w:rPr>
            </w:pPr>
            <w:r>
              <w:rPr>
                <w:color w:val="auto"/>
              </w:rPr>
              <w:t>小计</w:t>
            </w:r>
          </w:p>
        </w:tc>
        <w:tc>
          <w:tcPr>
            <w:tcW w:w="4912" w:type="dxa"/>
            <w:shd w:val="clear" w:color="auto" w:fill="auto"/>
            <w:vAlign w:val="center"/>
          </w:tcPr>
          <w:p>
            <w:pPr>
              <w:bidi w:val="0"/>
              <w:jc w:val="left"/>
              <w:rPr>
                <w:color w:val="auto"/>
              </w:rPr>
            </w:pPr>
            <w:r>
              <w:rPr>
                <w:color w:val="auto"/>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FFFFFF"/>
            <w:vAlign w:val="center"/>
          </w:tcPr>
          <w:p>
            <w:pPr>
              <w:bidi w:val="0"/>
              <w:jc w:val="left"/>
              <w:rPr>
                <w:color w:val="auto"/>
              </w:rPr>
            </w:pPr>
            <w:r>
              <w:rPr>
                <w:color w:val="auto"/>
              </w:rPr>
              <w:t>有所提高</w:t>
            </w:r>
          </w:p>
        </w:tc>
        <w:tc>
          <w:tcPr>
            <w:tcW w:w="1099" w:type="dxa"/>
            <w:shd w:val="clear" w:color="auto" w:fill="FFFFFF"/>
            <w:vAlign w:val="center"/>
          </w:tcPr>
          <w:p>
            <w:pPr>
              <w:bidi w:val="0"/>
              <w:jc w:val="center"/>
              <w:rPr>
                <w:color w:val="auto"/>
              </w:rPr>
            </w:pPr>
            <w:r>
              <w:rPr>
                <w:color w:val="auto"/>
              </w:rPr>
              <w:t>25</w:t>
            </w:r>
          </w:p>
        </w:tc>
        <w:tc>
          <w:tcPr>
            <w:tcW w:w="4912"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3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5"/>
                          <pic:cNvPicPr>
                            <a:picLocks noChangeAspect="1"/>
                          </pic:cNvPicPr>
                        </pic:nvPicPr>
                        <pic:blipFill>
                          <a:blip r:embed="rId12"/>
                          <a:stretch>
                            <a:fillRect/>
                          </a:stretch>
                        </pic:blipFill>
                        <pic:spPr>
                          <a:xfrm>
                            <a:off x="0" y="0"/>
                            <a:ext cx="1352550" cy="114300"/>
                          </a:xfrm>
                          <a:prstGeom prst="rect">
                            <a:avLst/>
                          </a:prstGeom>
                          <a:noFill/>
                          <a:ln>
                            <a:noFill/>
                          </a:ln>
                        </pic:spPr>
                      </pic:pic>
                    </a:graphicData>
                  </a:graphic>
                </wp:inline>
              </w:drawing>
            </w:r>
            <w:r>
              <w:rPr>
                <w:color w:val="auto"/>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没有提高</w:t>
            </w:r>
          </w:p>
        </w:tc>
        <w:tc>
          <w:tcPr>
            <w:tcW w:w="1099" w:type="dxa"/>
            <w:shd w:val="clear" w:color="auto" w:fill="auto"/>
            <w:vAlign w:val="center"/>
          </w:tcPr>
          <w:p>
            <w:pPr>
              <w:bidi w:val="0"/>
              <w:jc w:val="center"/>
              <w:rPr>
                <w:color w:val="auto"/>
              </w:rPr>
            </w:pPr>
            <w:r>
              <w:rPr>
                <w:color w:val="auto"/>
              </w:rPr>
              <w:t>0</w:t>
            </w:r>
          </w:p>
        </w:tc>
        <w:tc>
          <w:tcPr>
            <w:tcW w:w="4912" w:type="dxa"/>
            <w:shd w:val="clear" w:color="auto" w:fill="auto"/>
            <w:vAlign w:val="center"/>
          </w:tcPr>
          <w:p>
            <w:pPr>
              <w:bidi w:val="0"/>
              <w:jc w:val="left"/>
              <w:rPr>
                <w:color w:val="auto"/>
              </w:rPr>
            </w:pPr>
            <w:r>
              <w:rPr>
                <w:color w:val="auto"/>
              </w:rPr>
              <w:drawing>
                <wp:inline distT="0" distB="0" distL="114300" distR="114300">
                  <wp:extent cx="1352550" cy="114300"/>
                  <wp:effectExtent l="0" t="0" r="3810" b="7620"/>
                  <wp:docPr id="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6"/>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FFFFFF"/>
            <w:vAlign w:val="center"/>
          </w:tcPr>
          <w:p>
            <w:pPr>
              <w:bidi w:val="0"/>
              <w:jc w:val="left"/>
              <w:rPr>
                <w:color w:val="auto"/>
              </w:rPr>
            </w:pPr>
            <w:r>
              <w:rPr>
                <w:color w:val="auto"/>
              </w:rPr>
              <w:t>不关注</w:t>
            </w:r>
          </w:p>
        </w:tc>
        <w:tc>
          <w:tcPr>
            <w:tcW w:w="1099" w:type="dxa"/>
            <w:shd w:val="clear" w:color="auto" w:fill="FFFFFF"/>
            <w:vAlign w:val="center"/>
          </w:tcPr>
          <w:p>
            <w:pPr>
              <w:bidi w:val="0"/>
              <w:jc w:val="center"/>
              <w:rPr>
                <w:color w:val="auto"/>
              </w:rPr>
            </w:pPr>
            <w:r>
              <w:rPr>
                <w:color w:val="auto"/>
              </w:rPr>
              <w:t>0</w:t>
            </w:r>
          </w:p>
        </w:tc>
        <w:tc>
          <w:tcPr>
            <w:tcW w:w="4912"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1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7"/>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277" w:type="dxa"/>
            <w:shd w:val="clear" w:color="auto" w:fill="auto"/>
            <w:vAlign w:val="center"/>
          </w:tcPr>
          <w:p>
            <w:pPr>
              <w:bidi w:val="0"/>
              <w:jc w:val="left"/>
              <w:rPr>
                <w:color w:val="auto"/>
              </w:rPr>
            </w:pPr>
            <w:r>
              <w:rPr>
                <w:color w:val="auto"/>
              </w:rPr>
              <w:t>本题有效填写人次</w:t>
            </w:r>
          </w:p>
        </w:tc>
        <w:tc>
          <w:tcPr>
            <w:tcW w:w="1099" w:type="dxa"/>
            <w:shd w:val="clear" w:color="auto" w:fill="auto"/>
            <w:vAlign w:val="center"/>
          </w:tcPr>
          <w:p>
            <w:pPr>
              <w:bidi w:val="0"/>
              <w:jc w:val="center"/>
              <w:rPr>
                <w:color w:val="auto"/>
              </w:rPr>
            </w:pPr>
            <w:r>
              <w:rPr>
                <w:color w:val="auto"/>
              </w:rPr>
              <w:t>25</w:t>
            </w:r>
          </w:p>
        </w:tc>
        <w:tc>
          <w:tcPr>
            <w:tcW w:w="4912" w:type="dxa"/>
            <w:shd w:val="clear" w:color="auto" w:fill="auto"/>
            <w:vAlign w:val="center"/>
          </w:tcPr>
          <w:p>
            <w:pPr>
              <w:bidi w:val="0"/>
              <w:jc w:val="left"/>
              <w:rPr>
                <w:color w:val="auto"/>
              </w:rPr>
            </w:pPr>
          </w:p>
        </w:tc>
      </w:tr>
    </w:tbl>
    <w:p>
      <w:pPr>
        <w:bidi w:val="0"/>
        <w:rPr>
          <w:color w:val="auto"/>
        </w:rPr>
      </w:pPr>
    </w:p>
    <w:p>
      <w:pPr>
        <w:bidi w:val="0"/>
        <w:rPr>
          <w:color w:val="auto"/>
        </w:rPr>
      </w:pPr>
    </w:p>
    <w:p>
      <w:pPr>
        <w:bidi w:val="0"/>
        <w:rPr>
          <w:color w:val="auto"/>
        </w:rPr>
      </w:pPr>
      <w:r>
        <w:rPr>
          <w:b w:val="0"/>
          <w:color w:val="auto"/>
          <w:sz w:val="24"/>
        </w:rPr>
        <w:t>6.作为双鸭山市居民您对水务局整体工作是否满意？   [单选题]</w:t>
      </w:r>
    </w:p>
    <w:p>
      <w:pPr>
        <w:bidi w:val="0"/>
        <w:rPr>
          <w:b w:val="0"/>
          <w:color w:val="auto"/>
          <w:sz w:val="24"/>
        </w:rPr>
      </w:pP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7"/>
        <w:gridCol w:w="1116"/>
        <w:gridCol w:w="4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auto"/>
            <w:vAlign w:val="center"/>
          </w:tcPr>
          <w:p>
            <w:pPr>
              <w:bidi w:val="0"/>
              <w:jc w:val="left"/>
              <w:rPr>
                <w:color w:val="auto"/>
              </w:rPr>
            </w:pPr>
            <w:r>
              <w:rPr>
                <w:color w:val="auto"/>
              </w:rPr>
              <w:t>选项</w:t>
            </w:r>
          </w:p>
        </w:tc>
        <w:tc>
          <w:tcPr>
            <w:tcW w:w="1116" w:type="dxa"/>
            <w:shd w:val="clear" w:color="auto" w:fill="auto"/>
            <w:vAlign w:val="center"/>
          </w:tcPr>
          <w:p>
            <w:pPr>
              <w:bidi w:val="0"/>
              <w:jc w:val="center"/>
              <w:rPr>
                <w:color w:val="auto"/>
              </w:rPr>
            </w:pPr>
            <w:r>
              <w:rPr>
                <w:color w:val="auto"/>
              </w:rPr>
              <w:t>小计</w:t>
            </w:r>
          </w:p>
        </w:tc>
        <w:tc>
          <w:tcPr>
            <w:tcW w:w="4845" w:type="dxa"/>
            <w:shd w:val="clear" w:color="auto" w:fill="auto"/>
            <w:vAlign w:val="center"/>
          </w:tcPr>
          <w:p>
            <w:pPr>
              <w:bidi w:val="0"/>
              <w:jc w:val="left"/>
              <w:rPr>
                <w:color w:val="auto"/>
              </w:rPr>
            </w:pPr>
            <w:r>
              <w:rPr>
                <w:color w:val="auto"/>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FFFFFF"/>
            <w:vAlign w:val="center"/>
          </w:tcPr>
          <w:p>
            <w:pPr>
              <w:bidi w:val="0"/>
              <w:jc w:val="left"/>
              <w:rPr>
                <w:color w:val="auto"/>
              </w:rPr>
            </w:pPr>
            <w:r>
              <w:rPr>
                <w:color w:val="auto"/>
              </w:rPr>
              <w:t>非常满意</w:t>
            </w:r>
          </w:p>
        </w:tc>
        <w:tc>
          <w:tcPr>
            <w:tcW w:w="1116" w:type="dxa"/>
            <w:shd w:val="clear" w:color="auto" w:fill="FFFFFF"/>
            <w:vAlign w:val="center"/>
          </w:tcPr>
          <w:p>
            <w:pPr>
              <w:bidi w:val="0"/>
              <w:jc w:val="center"/>
              <w:rPr>
                <w:color w:val="auto"/>
              </w:rPr>
            </w:pPr>
            <w:r>
              <w:rPr>
                <w:color w:val="auto"/>
              </w:rPr>
              <w:t>23</w:t>
            </w:r>
          </w:p>
        </w:tc>
        <w:tc>
          <w:tcPr>
            <w:tcW w:w="4845" w:type="dxa"/>
            <w:shd w:val="clear" w:color="auto" w:fill="FFFFFF"/>
            <w:vAlign w:val="center"/>
          </w:tcPr>
          <w:p>
            <w:pPr>
              <w:bidi w:val="0"/>
              <w:jc w:val="left"/>
              <w:rPr>
                <w:color w:val="auto"/>
              </w:rPr>
            </w:pPr>
            <w:r>
              <w:rPr>
                <w:color w:val="auto"/>
              </w:rPr>
              <w:drawing>
                <wp:inline distT="0" distB="0" distL="114300" distR="114300">
                  <wp:extent cx="1238250" cy="114300"/>
                  <wp:effectExtent l="0" t="0" r="11430" b="7620"/>
                  <wp:docPr id="1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8"/>
                          <pic:cNvPicPr>
                            <a:picLocks noChangeAspect="1"/>
                          </pic:cNvPicPr>
                        </pic:nvPicPr>
                        <pic:blipFill>
                          <a:blip r:embed="rId18"/>
                          <a:stretch>
                            <a:fillRect/>
                          </a:stretch>
                        </pic:blipFill>
                        <pic:spPr>
                          <a:xfrm>
                            <a:off x="0" y="0"/>
                            <a:ext cx="1238250" cy="114300"/>
                          </a:xfrm>
                          <a:prstGeom prst="rect">
                            <a:avLst/>
                          </a:prstGeom>
                          <a:noFill/>
                          <a:ln>
                            <a:noFill/>
                          </a:ln>
                        </pic:spPr>
                      </pic:pic>
                    </a:graphicData>
                  </a:graphic>
                </wp:inline>
              </w:drawing>
            </w:r>
            <w:r>
              <w:rPr>
                <w:color w:val="auto"/>
              </w:rPr>
              <w:drawing>
                <wp:inline distT="0" distB="0" distL="114300" distR="114300">
                  <wp:extent cx="114300" cy="114300"/>
                  <wp:effectExtent l="0" t="0" r="7620" b="7620"/>
                  <wp:docPr id="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9"/>
                          <pic:cNvPicPr>
                            <a:picLocks noChangeAspect="1"/>
                          </pic:cNvPicPr>
                        </pic:nvPicPr>
                        <pic:blipFill>
                          <a:blip r:embed="rId19"/>
                          <a:stretch>
                            <a:fillRect/>
                          </a:stretch>
                        </pic:blipFill>
                        <pic:spPr>
                          <a:xfrm>
                            <a:off x="0" y="0"/>
                            <a:ext cx="114300" cy="114300"/>
                          </a:xfrm>
                          <a:prstGeom prst="rect">
                            <a:avLst/>
                          </a:prstGeom>
                          <a:noFill/>
                          <a:ln>
                            <a:noFill/>
                          </a:ln>
                        </pic:spPr>
                      </pic:pic>
                    </a:graphicData>
                  </a:graphic>
                </wp:inline>
              </w:drawing>
            </w:r>
            <w:r>
              <w:rPr>
                <w:color w:val="auto"/>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auto"/>
            <w:vAlign w:val="center"/>
          </w:tcPr>
          <w:p>
            <w:pPr>
              <w:bidi w:val="0"/>
              <w:jc w:val="left"/>
              <w:rPr>
                <w:color w:val="auto"/>
              </w:rPr>
            </w:pPr>
            <w:r>
              <w:rPr>
                <w:color w:val="auto"/>
              </w:rPr>
              <w:t>比较满意</w:t>
            </w:r>
          </w:p>
        </w:tc>
        <w:tc>
          <w:tcPr>
            <w:tcW w:w="1116" w:type="dxa"/>
            <w:shd w:val="clear" w:color="auto" w:fill="auto"/>
            <w:vAlign w:val="center"/>
          </w:tcPr>
          <w:p>
            <w:pPr>
              <w:bidi w:val="0"/>
              <w:jc w:val="center"/>
              <w:rPr>
                <w:color w:val="auto"/>
              </w:rPr>
            </w:pPr>
            <w:r>
              <w:rPr>
                <w:color w:val="auto"/>
              </w:rPr>
              <w:t>2</w:t>
            </w:r>
          </w:p>
        </w:tc>
        <w:tc>
          <w:tcPr>
            <w:tcW w:w="4845" w:type="dxa"/>
            <w:shd w:val="clear" w:color="auto" w:fill="auto"/>
            <w:vAlign w:val="center"/>
          </w:tcPr>
          <w:p>
            <w:pPr>
              <w:bidi w:val="0"/>
              <w:jc w:val="left"/>
              <w:rPr>
                <w:color w:val="auto"/>
              </w:rPr>
            </w:pPr>
            <w:r>
              <w:rPr>
                <w:color w:val="auto"/>
              </w:rPr>
              <w:drawing>
                <wp:inline distT="0" distB="0" distL="114300" distR="114300">
                  <wp:extent cx="104775" cy="114300"/>
                  <wp:effectExtent l="0" t="0" r="1905" b="7620"/>
                  <wp:docPr id="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0"/>
                          <pic:cNvPicPr>
                            <a:picLocks noChangeAspect="1"/>
                          </pic:cNvPicPr>
                        </pic:nvPicPr>
                        <pic:blipFill>
                          <a:blip r:embed="rId20"/>
                          <a:stretch>
                            <a:fillRect/>
                          </a:stretch>
                        </pic:blipFill>
                        <pic:spPr>
                          <a:xfrm>
                            <a:off x="0" y="0"/>
                            <a:ext cx="104775" cy="114300"/>
                          </a:xfrm>
                          <a:prstGeom prst="rect">
                            <a:avLst/>
                          </a:prstGeom>
                          <a:noFill/>
                          <a:ln>
                            <a:noFill/>
                          </a:ln>
                        </pic:spPr>
                      </pic:pic>
                    </a:graphicData>
                  </a:graphic>
                </wp:inline>
              </w:drawing>
            </w:r>
            <w:r>
              <w:rPr>
                <w:color w:val="auto"/>
              </w:rPr>
              <w:drawing>
                <wp:inline distT="0" distB="0" distL="114300" distR="114300">
                  <wp:extent cx="1247775" cy="114300"/>
                  <wp:effectExtent l="0" t="0" r="1905" b="7620"/>
                  <wp:docPr id="2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1"/>
                          <pic:cNvPicPr>
                            <a:picLocks noChangeAspect="1"/>
                          </pic:cNvPicPr>
                        </pic:nvPicPr>
                        <pic:blipFill>
                          <a:blip r:embed="rId21"/>
                          <a:stretch>
                            <a:fillRect/>
                          </a:stretch>
                        </pic:blipFill>
                        <pic:spPr>
                          <a:xfrm>
                            <a:off x="0" y="0"/>
                            <a:ext cx="1247775" cy="114300"/>
                          </a:xfrm>
                          <a:prstGeom prst="rect">
                            <a:avLst/>
                          </a:prstGeom>
                          <a:noFill/>
                          <a:ln>
                            <a:noFill/>
                          </a:ln>
                        </pic:spPr>
                      </pic:pic>
                    </a:graphicData>
                  </a:graphic>
                </wp:inline>
              </w:drawing>
            </w:r>
            <w:r>
              <w:rPr>
                <w:color w:val="auto"/>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FFFFFF"/>
            <w:vAlign w:val="center"/>
          </w:tcPr>
          <w:p>
            <w:pPr>
              <w:bidi w:val="0"/>
              <w:jc w:val="left"/>
              <w:rPr>
                <w:color w:val="auto"/>
              </w:rPr>
            </w:pPr>
            <w:r>
              <w:rPr>
                <w:color w:val="auto"/>
              </w:rPr>
              <w:t>一般满意</w:t>
            </w:r>
          </w:p>
        </w:tc>
        <w:tc>
          <w:tcPr>
            <w:tcW w:w="1116" w:type="dxa"/>
            <w:shd w:val="clear" w:color="auto" w:fill="FFFFFF"/>
            <w:vAlign w:val="center"/>
          </w:tcPr>
          <w:p>
            <w:pPr>
              <w:bidi w:val="0"/>
              <w:jc w:val="center"/>
              <w:rPr>
                <w:color w:val="auto"/>
              </w:rPr>
            </w:pPr>
            <w:r>
              <w:rPr>
                <w:color w:val="auto"/>
              </w:rPr>
              <w:t>0</w:t>
            </w:r>
          </w:p>
        </w:tc>
        <w:tc>
          <w:tcPr>
            <w:tcW w:w="4845"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1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2"/>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auto"/>
            <w:vAlign w:val="center"/>
          </w:tcPr>
          <w:p>
            <w:pPr>
              <w:bidi w:val="0"/>
              <w:jc w:val="left"/>
              <w:rPr>
                <w:color w:val="auto"/>
              </w:rPr>
            </w:pPr>
            <w:r>
              <w:rPr>
                <w:color w:val="auto"/>
              </w:rPr>
              <w:t>比较不满意</w:t>
            </w:r>
          </w:p>
        </w:tc>
        <w:tc>
          <w:tcPr>
            <w:tcW w:w="1116" w:type="dxa"/>
            <w:shd w:val="clear" w:color="auto" w:fill="auto"/>
            <w:vAlign w:val="center"/>
          </w:tcPr>
          <w:p>
            <w:pPr>
              <w:bidi w:val="0"/>
              <w:jc w:val="center"/>
              <w:rPr>
                <w:color w:val="auto"/>
              </w:rPr>
            </w:pPr>
            <w:r>
              <w:rPr>
                <w:color w:val="auto"/>
              </w:rPr>
              <w:t>0</w:t>
            </w:r>
          </w:p>
        </w:tc>
        <w:tc>
          <w:tcPr>
            <w:tcW w:w="4845" w:type="dxa"/>
            <w:shd w:val="clear" w:color="auto" w:fill="auto"/>
            <w:vAlign w:val="center"/>
          </w:tcPr>
          <w:p>
            <w:pPr>
              <w:bidi w:val="0"/>
              <w:jc w:val="left"/>
              <w:rPr>
                <w:color w:val="auto"/>
              </w:rPr>
            </w:pPr>
            <w:r>
              <w:rPr>
                <w:color w:val="auto"/>
              </w:rPr>
              <w:drawing>
                <wp:inline distT="0" distB="0" distL="114300" distR="114300">
                  <wp:extent cx="1352550" cy="114300"/>
                  <wp:effectExtent l="0" t="0" r="3810" b="7620"/>
                  <wp:docPr id="1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3"/>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FFFFFF"/>
            <w:vAlign w:val="center"/>
          </w:tcPr>
          <w:p>
            <w:pPr>
              <w:bidi w:val="0"/>
              <w:jc w:val="left"/>
              <w:rPr>
                <w:color w:val="auto"/>
              </w:rPr>
            </w:pPr>
            <w:r>
              <w:rPr>
                <w:color w:val="auto"/>
              </w:rPr>
              <w:t>非常不满意</w:t>
            </w:r>
          </w:p>
        </w:tc>
        <w:tc>
          <w:tcPr>
            <w:tcW w:w="1116" w:type="dxa"/>
            <w:shd w:val="clear" w:color="auto" w:fill="FFFFFF"/>
            <w:vAlign w:val="center"/>
          </w:tcPr>
          <w:p>
            <w:pPr>
              <w:bidi w:val="0"/>
              <w:jc w:val="center"/>
              <w:rPr>
                <w:color w:val="auto"/>
              </w:rPr>
            </w:pPr>
            <w:r>
              <w:rPr>
                <w:color w:val="auto"/>
              </w:rPr>
              <w:t>0</w:t>
            </w:r>
          </w:p>
        </w:tc>
        <w:tc>
          <w:tcPr>
            <w:tcW w:w="4845"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1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4"/>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auto"/>
            <w:vAlign w:val="center"/>
          </w:tcPr>
          <w:p>
            <w:pPr>
              <w:bidi w:val="0"/>
              <w:jc w:val="left"/>
              <w:rPr>
                <w:color w:val="auto"/>
              </w:rPr>
            </w:pPr>
            <w:r>
              <w:rPr>
                <w:color w:val="auto"/>
              </w:rPr>
              <w:t>本题有效填写人次</w:t>
            </w:r>
          </w:p>
        </w:tc>
        <w:tc>
          <w:tcPr>
            <w:tcW w:w="1116" w:type="dxa"/>
            <w:shd w:val="clear" w:color="auto" w:fill="auto"/>
            <w:vAlign w:val="center"/>
          </w:tcPr>
          <w:p>
            <w:pPr>
              <w:bidi w:val="0"/>
              <w:jc w:val="center"/>
              <w:rPr>
                <w:color w:val="auto"/>
              </w:rPr>
            </w:pPr>
            <w:r>
              <w:rPr>
                <w:color w:val="auto"/>
              </w:rPr>
              <w:t>25</w:t>
            </w:r>
          </w:p>
        </w:tc>
        <w:tc>
          <w:tcPr>
            <w:tcW w:w="4845" w:type="dxa"/>
            <w:shd w:val="clear" w:color="auto" w:fill="auto"/>
            <w:vAlign w:val="center"/>
          </w:tcPr>
          <w:p>
            <w:pPr>
              <w:bidi w:val="0"/>
              <w:jc w:val="left"/>
              <w:rPr>
                <w:color w:val="auto"/>
              </w:rPr>
            </w:pPr>
          </w:p>
        </w:tc>
      </w:tr>
    </w:tbl>
    <w:p>
      <w:pPr>
        <w:bidi w:val="0"/>
        <w:rPr>
          <w:color w:val="auto"/>
        </w:rPr>
      </w:pPr>
    </w:p>
    <w:p>
      <w:pPr>
        <w:bidi w:val="0"/>
        <w:rPr>
          <w:color w:val="auto"/>
        </w:rPr>
      </w:pPr>
    </w:p>
    <w:p>
      <w:pPr>
        <w:bidi w:val="0"/>
        <w:rPr>
          <w:color w:val="auto"/>
        </w:rPr>
      </w:pPr>
      <w:r>
        <w:rPr>
          <w:b w:val="0"/>
          <w:color w:val="auto"/>
          <w:sz w:val="24"/>
        </w:rPr>
        <w:t>7.作为水务局工作人员您对水务局管理制度及管理方式是否满意？（本题限水务局内部员工填写）   [单选题]</w:t>
      </w:r>
    </w:p>
    <w:p>
      <w:pPr>
        <w:bidi w:val="0"/>
        <w:rPr>
          <w:b w:val="0"/>
          <w:color w:val="auto"/>
          <w:sz w:val="24"/>
        </w:rPr>
      </w:pP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7"/>
        <w:gridCol w:w="1116"/>
        <w:gridCol w:w="4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auto"/>
            <w:vAlign w:val="center"/>
          </w:tcPr>
          <w:p>
            <w:pPr>
              <w:bidi w:val="0"/>
              <w:jc w:val="left"/>
              <w:rPr>
                <w:color w:val="auto"/>
              </w:rPr>
            </w:pPr>
            <w:r>
              <w:rPr>
                <w:color w:val="auto"/>
              </w:rPr>
              <w:t>选项</w:t>
            </w:r>
          </w:p>
        </w:tc>
        <w:tc>
          <w:tcPr>
            <w:tcW w:w="1116" w:type="dxa"/>
            <w:shd w:val="clear" w:color="auto" w:fill="auto"/>
            <w:vAlign w:val="center"/>
          </w:tcPr>
          <w:p>
            <w:pPr>
              <w:bidi w:val="0"/>
              <w:jc w:val="center"/>
              <w:rPr>
                <w:color w:val="auto"/>
              </w:rPr>
            </w:pPr>
            <w:r>
              <w:rPr>
                <w:color w:val="auto"/>
              </w:rPr>
              <w:t>小计</w:t>
            </w:r>
          </w:p>
        </w:tc>
        <w:tc>
          <w:tcPr>
            <w:tcW w:w="4845" w:type="dxa"/>
            <w:shd w:val="clear" w:color="auto" w:fill="auto"/>
            <w:vAlign w:val="center"/>
          </w:tcPr>
          <w:p>
            <w:pPr>
              <w:bidi w:val="0"/>
              <w:jc w:val="left"/>
              <w:rPr>
                <w:color w:val="auto"/>
              </w:rPr>
            </w:pPr>
            <w:r>
              <w:rPr>
                <w:color w:val="auto"/>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FFFFFF"/>
            <w:vAlign w:val="center"/>
          </w:tcPr>
          <w:p>
            <w:pPr>
              <w:bidi w:val="0"/>
              <w:jc w:val="left"/>
              <w:rPr>
                <w:color w:val="auto"/>
              </w:rPr>
            </w:pPr>
            <w:r>
              <w:rPr>
                <w:color w:val="auto"/>
              </w:rPr>
              <w:t>非常满意</w:t>
            </w:r>
          </w:p>
        </w:tc>
        <w:tc>
          <w:tcPr>
            <w:tcW w:w="1116" w:type="dxa"/>
            <w:shd w:val="clear" w:color="auto" w:fill="FFFFFF"/>
            <w:vAlign w:val="center"/>
          </w:tcPr>
          <w:p>
            <w:pPr>
              <w:bidi w:val="0"/>
              <w:jc w:val="center"/>
              <w:rPr>
                <w:color w:val="auto"/>
              </w:rPr>
            </w:pPr>
            <w:r>
              <w:rPr>
                <w:color w:val="auto"/>
              </w:rPr>
              <w:t>23</w:t>
            </w:r>
          </w:p>
        </w:tc>
        <w:tc>
          <w:tcPr>
            <w:tcW w:w="4845" w:type="dxa"/>
            <w:shd w:val="clear" w:color="auto" w:fill="FFFFFF"/>
            <w:vAlign w:val="center"/>
          </w:tcPr>
          <w:p>
            <w:pPr>
              <w:bidi w:val="0"/>
              <w:jc w:val="left"/>
              <w:rPr>
                <w:color w:val="auto"/>
              </w:rPr>
            </w:pPr>
            <w:r>
              <w:rPr>
                <w:color w:val="auto"/>
              </w:rPr>
              <w:drawing>
                <wp:inline distT="0" distB="0" distL="114300" distR="114300">
                  <wp:extent cx="1238250" cy="114300"/>
                  <wp:effectExtent l="0" t="0" r="11430" b="7620"/>
                  <wp:docPr id="1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5"/>
                          <pic:cNvPicPr>
                            <a:picLocks noChangeAspect="1"/>
                          </pic:cNvPicPr>
                        </pic:nvPicPr>
                        <pic:blipFill>
                          <a:blip r:embed="rId18"/>
                          <a:stretch>
                            <a:fillRect/>
                          </a:stretch>
                        </pic:blipFill>
                        <pic:spPr>
                          <a:xfrm>
                            <a:off x="0" y="0"/>
                            <a:ext cx="1238250" cy="114300"/>
                          </a:xfrm>
                          <a:prstGeom prst="rect">
                            <a:avLst/>
                          </a:prstGeom>
                          <a:noFill/>
                          <a:ln>
                            <a:noFill/>
                          </a:ln>
                        </pic:spPr>
                      </pic:pic>
                    </a:graphicData>
                  </a:graphic>
                </wp:inline>
              </w:drawing>
            </w:r>
            <w:r>
              <w:rPr>
                <w:color w:val="auto"/>
              </w:rPr>
              <w:drawing>
                <wp:inline distT="0" distB="0" distL="114300" distR="114300">
                  <wp:extent cx="114300" cy="114300"/>
                  <wp:effectExtent l="0" t="0" r="7620" b="7620"/>
                  <wp:docPr id="1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6"/>
                          <pic:cNvPicPr>
                            <a:picLocks noChangeAspect="1"/>
                          </pic:cNvPicPr>
                        </pic:nvPicPr>
                        <pic:blipFill>
                          <a:blip r:embed="rId19"/>
                          <a:stretch>
                            <a:fillRect/>
                          </a:stretch>
                        </pic:blipFill>
                        <pic:spPr>
                          <a:xfrm>
                            <a:off x="0" y="0"/>
                            <a:ext cx="114300" cy="114300"/>
                          </a:xfrm>
                          <a:prstGeom prst="rect">
                            <a:avLst/>
                          </a:prstGeom>
                          <a:noFill/>
                          <a:ln>
                            <a:noFill/>
                          </a:ln>
                        </pic:spPr>
                      </pic:pic>
                    </a:graphicData>
                  </a:graphic>
                </wp:inline>
              </w:drawing>
            </w:r>
            <w:r>
              <w:rPr>
                <w:color w:val="auto"/>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auto"/>
            <w:vAlign w:val="center"/>
          </w:tcPr>
          <w:p>
            <w:pPr>
              <w:bidi w:val="0"/>
              <w:jc w:val="left"/>
              <w:rPr>
                <w:color w:val="auto"/>
              </w:rPr>
            </w:pPr>
            <w:r>
              <w:rPr>
                <w:color w:val="auto"/>
              </w:rPr>
              <w:t>比较满意</w:t>
            </w:r>
          </w:p>
        </w:tc>
        <w:tc>
          <w:tcPr>
            <w:tcW w:w="1116" w:type="dxa"/>
            <w:shd w:val="clear" w:color="auto" w:fill="auto"/>
            <w:vAlign w:val="center"/>
          </w:tcPr>
          <w:p>
            <w:pPr>
              <w:bidi w:val="0"/>
              <w:jc w:val="center"/>
              <w:rPr>
                <w:color w:val="auto"/>
              </w:rPr>
            </w:pPr>
            <w:r>
              <w:rPr>
                <w:color w:val="auto"/>
              </w:rPr>
              <w:t>2</w:t>
            </w:r>
          </w:p>
        </w:tc>
        <w:tc>
          <w:tcPr>
            <w:tcW w:w="4845" w:type="dxa"/>
            <w:shd w:val="clear" w:color="auto" w:fill="auto"/>
            <w:vAlign w:val="center"/>
          </w:tcPr>
          <w:p>
            <w:pPr>
              <w:bidi w:val="0"/>
              <w:jc w:val="left"/>
              <w:rPr>
                <w:color w:val="auto"/>
              </w:rPr>
            </w:pPr>
            <w:r>
              <w:rPr>
                <w:color w:val="auto"/>
              </w:rPr>
              <w:drawing>
                <wp:inline distT="0" distB="0" distL="114300" distR="114300">
                  <wp:extent cx="104775" cy="114300"/>
                  <wp:effectExtent l="0" t="0" r="1905" b="7620"/>
                  <wp:docPr id="2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7"/>
                          <pic:cNvPicPr>
                            <a:picLocks noChangeAspect="1"/>
                          </pic:cNvPicPr>
                        </pic:nvPicPr>
                        <pic:blipFill>
                          <a:blip r:embed="rId20"/>
                          <a:stretch>
                            <a:fillRect/>
                          </a:stretch>
                        </pic:blipFill>
                        <pic:spPr>
                          <a:xfrm>
                            <a:off x="0" y="0"/>
                            <a:ext cx="104775" cy="114300"/>
                          </a:xfrm>
                          <a:prstGeom prst="rect">
                            <a:avLst/>
                          </a:prstGeom>
                          <a:noFill/>
                          <a:ln>
                            <a:noFill/>
                          </a:ln>
                        </pic:spPr>
                      </pic:pic>
                    </a:graphicData>
                  </a:graphic>
                </wp:inline>
              </w:drawing>
            </w:r>
            <w:r>
              <w:rPr>
                <w:color w:val="auto"/>
              </w:rPr>
              <w:drawing>
                <wp:inline distT="0" distB="0" distL="114300" distR="114300">
                  <wp:extent cx="1247775" cy="114300"/>
                  <wp:effectExtent l="0" t="0" r="1905" b="7620"/>
                  <wp:docPr id="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8"/>
                          <pic:cNvPicPr>
                            <a:picLocks noChangeAspect="1"/>
                          </pic:cNvPicPr>
                        </pic:nvPicPr>
                        <pic:blipFill>
                          <a:blip r:embed="rId21"/>
                          <a:stretch>
                            <a:fillRect/>
                          </a:stretch>
                        </pic:blipFill>
                        <pic:spPr>
                          <a:xfrm>
                            <a:off x="0" y="0"/>
                            <a:ext cx="1247775" cy="114300"/>
                          </a:xfrm>
                          <a:prstGeom prst="rect">
                            <a:avLst/>
                          </a:prstGeom>
                          <a:noFill/>
                          <a:ln>
                            <a:noFill/>
                          </a:ln>
                        </pic:spPr>
                      </pic:pic>
                    </a:graphicData>
                  </a:graphic>
                </wp:inline>
              </w:drawing>
            </w:r>
            <w:r>
              <w:rPr>
                <w:color w:val="auto"/>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FFFFFF"/>
            <w:vAlign w:val="center"/>
          </w:tcPr>
          <w:p>
            <w:pPr>
              <w:bidi w:val="0"/>
              <w:jc w:val="left"/>
              <w:rPr>
                <w:color w:val="auto"/>
              </w:rPr>
            </w:pPr>
            <w:r>
              <w:rPr>
                <w:color w:val="auto"/>
              </w:rPr>
              <w:t>一般满意</w:t>
            </w:r>
          </w:p>
        </w:tc>
        <w:tc>
          <w:tcPr>
            <w:tcW w:w="1116" w:type="dxa"/>
            <w:shd w:val="clear" w:color="auto" w:fill="FFFFFF"/>
            <w:vAlign w:val="center"/>
          </w:tcPr>
          <w:p>
            <w:pPr>
              <w:bidi w:val="0"/>
              <w:jc w:val="center"/>
              <w:rPr>
                <w:color w:val="auto"/>
              </w:rPr>
            </w:pPr>
            <w:r>
              <w:rPr>
                <w:color w:val="auto"/>
              </w:rPr>
              <w:t>0</w:t>
            </w:r>
          </w:p>
        </w:tc>
        <w:tc>
          <w:tcPr>
            <w:tcW w:w="4845"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9"/>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auto"/>
            <w:vAlign w:val="center"/>
          </w:tcPr>
          <w:p>
            <w:pPr>
              <w:bidi w:val="0"/>
              <w:jc w:val="left"/>
              <w:rPr>
                <w:color w:val="auto"/>
              </w:rPr>
            </w:pPr>
            <w:r>
              <w:rPr>
                <w:color w:val="auto"/>
              </w:rPr>
              <w:t>比较不满意</w:t>
            </w:r>
          </w:p>
        </w:tc>
        <w:tc>
          <w:tcPr>
            <w:tcW w:w="1116" w:type="dxa"/>
            <w:shd w:val="clear" w:color="auto" w:fill="auto"/>
            <w:vAlign w:val="center"/>
          </w:tcPr>
          <w:p>
            <w:pPr>
              <w:bidi w:val="0"/>
              <w:jc w:val="center"/>
              <w:rPr>
                <w:color w:val="auto"/>
              </w:rPr>
            </w:pPr>
            <w:r>
              <w:rPr>
                <w:color w:val="auto"/>
              </w:rPr>
              <w:t>0</w:t>
            </w:r>
          </w:p>
        </w:tc>
        <w:tc>
          <w:tcPr>
            <w:tcW w:w="4845" w:type="dxa"/>
            <w:shd w:val="clear" w:color="auto" w:fill="auto"/>
            <w:vAlign w:val="center"/>
          </w:tcPr>
          <w:p>
            <w:pPr>
              <w:bidi w:val="0"/>
              <w:jc w:val="left"/>
              <w:rPr>
                <w:color w:val="auto"/>
              </w:rPr>
            </w:pPr>
            <w:r>
              <w:rPr>
                <w:color w:val="auto"/>
              </w:rPr>
              <w:drawing>
                <wp:inline distT="0" distB="0" distL="114300" distR="114300">
                  <wp:extent cx="1352550" cy="114300"/>
                  <wp:effectExtent l="0" t="0" r="3810" b="7620"/>
                  <wp:docPr id="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0"/>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FFFFFF"/>
            <w:vAlign w:val="center"/>
          </w:tcPr>
          <w:p>
            <w:pPr>
              <w:bidi w:val="0"/>
              <w:jc w:val="left"/>
              <w:rPr>
                <w:color w:val="auto"/>
              </w:rPr>
            </w:pPr>
            <w:r>
              <w:rPr>
                <w:color w:val="auto"/>
              </w:rPr>
              <w:t>非常不满意</w:t>
            </w:r>
          </w:p>
        </w:tc>
        <w:tc>
          <w:tcPr>
            <w:tcW w:w="1116" w:type="dxa"/>
            <w:shd w:val="clear" w:color="auto" w:fill="FFFFFF"/>
            <w:vAlign w:val="center"/>
          </w:tcPr>
          <w:p>
            <w:pPr>
              <w:bidi w:val="0"/>
              <w:jc w:val="center"/>
              <w:rPr>
                <w:color w:val="auto"/>
              </w:rPr>
            </w:pPr>
            <w:r>
              <w:rPr>
                <w:color w:val="auto"/>
              </w:rPr>
              <w:t>0</w:t>
            </w:r>
          </w:p>
        </w:tc>
        <w:tc>
          <w:tcPr>
            <w:tcW w:w="4845" w:type="dxa"/>
            <w:shd w:val="clear" w:color="auto" w:fill="FFFFFF"/>
            <w:vAlign w:val="center"/>
          </w:tcPr>
          <w:p>
            <w:pPr>
              <w:bidi w:val="0"/>
              <w:jc w:val="left"/>
              <w:rPr>
                <w:color w:val="auto"/>
              </w:rPr>
            </w:pPr>
            <w:r>
              <w:rPr>
                <w:color w:val="auto"/>
              </w:rPr>
              <w:drawing>
                <wp:inline distT="0" distB="0" distL="114300" distR="114300">
                  <wp:extent cx="1352550" cy="114300"/>
                  <wp:effectExtent l="0" t="0" r="3810" b="7620"/>
                  <wp:docPr id="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1"/>
                          <pic:cNvPicPr>
                            <a:picLocks noChangeAspect="1"/>
                          </pic:cNvPicPr>
                        </pic:nvPicPr>
                        <pic:blipFill>
                          <a:blip r:embed="rId13"/>
                          <a:stretch>
                            <a:fillRect/>
                          </a:stretch>
                        </pic:blipFill>
                        <pic:spPr>
                          <a:xfrm>
                            <a:off x="0" y="0"/>
                            <a:ext cx="1352550" cy="114300"/>
                          </a:xfrm>
                          <a:prstGeom prst="rect">
                            <a:avLst/>
                          </a:prstGeom>
                          <a:noFill/>
                          <a:ln>
                            <a:noFill/>
                          </a:ln>
                        </pic:spPr>
                      </pic:pic>
                    </a:graphicData>
                  </a:graphic>
                </wp:inline>
              </w:drawing>
            </w: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327" w:type="dxa"/>
            <w:shd w:val="clear" w:color="auto" w:fill="auto"/>
            <w:vAlign w:val="center"/>
          </w:tcPr>
          <w:p>
            <w:pPr>
              <w:bidi w:val="0"/>
              <w:jc w:val="left"/>
              <w:rPr>
                <w:color w:val="auto"/>
              </w:rPr>
            </w:pPr>
            <w:r>
              <w:rPr>
                <w:color w:val="auto"/>
              </w:rPr>
              <w:t>本题有效填写人次</w:t>
            </w:r>
          </w:p>
        </w:tc>
        <w:tc>
          <w:tcPr>
            <w:tcW w:w="1116" w:type="dxa"/>
            <w:shd w:val="clear" w:color="auto" w:fill="auto"/>
            <w:vAlign w:val="center"/>
          </w:tcPr>
          <w:p>
            <w:pPr>
              <w:bidi w:val="0"/>
              <w:jc w:val="center"/>
              <w:rPr>
                <w:color w:val="auto"/>
              </w:rPr>
            </w:pPr>
            <w:r>
              <w:rPr>
                <w:color w:val="auto"/>
              </w:rPr>
              <w:t>25</w:t>
            </w:r>
          </w:p>
        </w:tc>
        <w:tc>
          <w:tcPr>
            <w:tcW w:w="4845" w:type="dxa"/>
            <w:shd w:val="clear" w:color="auto" w:fill="auto"/>
            <w:vAlign w:val="center"/>
          </w:tcPr>
          <w:p>
            <w:pPr>
              <w:bidi w:val="0"/>
              <w:jc w:val="left"/>
              <w:rPr>
                <w:color w:val="auto"/>
              </w:rPr>
            </w:pPr>
          </w:p>
        </w:tc>
      </w:tr>
    </w:tbl>
    <w:p>
      <w:pPr>
        <w:bidi w:val="0"/>
        <w:rPr>
          <w:color w:val="auto"/>
        </w:rPr>
      </w:pPr>
    </w:p>
    <w:p>
      <w:pPr>
        <w:bidi w:val="0"/>
        <w:rPr>
          <w:color w:val="auto"/>
        </w:rPr>
      </w:pPr>
    </w:p>
    <w:p>
      <w:pPr>
        <w:bidi w:val="0"/>
        <w:rPr>
          <w:color w:val="auto"/>
        </w:rPr>
      </w:pPr>
      <w:r>
        <w:rPr>
          <w:b w:val="0"/>
          <w:color w:val="auto"/>
          <w:sz w:val="24"/>
        </w:rPr>
        <w:t>您对双鸭山市水务工作有何意见或建议：   [填空题]</w:t>
      </w:r>
    </w:p>
    <w:p>
      <w:pPr>
        <w:bidi w:val="0"/>
        <w:rPr>
          <w:b w:val="0"/>
          <w:color w:val="auto"/>
          <w:sz w:val="24"/>
        </w:rPr>
      </w:pPr>
    </w:p>
    <w:p>
      <w:pPr>
        <w:bidi w:val="0"/>
        <w:jc w:val="center"/>
        <w:rPr>
          <w:rFonts w:hint="default"/>
          <w:color w:val="auto"/>
          <w:lang w:val="en-US" w:eastAsia="zh-CN"/>
        </w:rPr>
      </w:pPr>
      <w:r>
        <w:rPr>
          <w:color w:val="auto"/>
        </w:rPr>
        <w:drawing>
          <wp:inline distT="0" distB="0" distL="114300" distR="114300">
            <wp:extent cx="4193540" cy="2092960"/>
            <wp:effectExtent l="0" t="0" r="12700" b="10160"/>
            <wp:docPr id="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2"/>
                    <pic:cNvPicPr>
                      <a:picLocks noChangeAspect="1"/>
                    </pic:cNvPicPr>
                  </pic:nvPicPr>
                  <pic:blipFill>
                    <a:blip r:embed="rId22"/>
                    <a:srcRect t="25142"/>
                    <a:stretch>
                      <a:fillRect/>
                    </a:stretch>
                  </pic:blipFill>
                  <pic:spPr>
                    <a:xfrm>
                      <a:off x="0" y="0"/>
                      <a:ext cx="4193540" cy="2092960"/>
                    </a:xfrm>
                    <a:prstGeom prst="rect">
                      <a:avLst/>
                    </a:prstGeom>
                    <a:noFill/>
                    <a:ln>
                      <a:noFill/>
                    </a:ln>
                  </pic:spPr>
                </pic:pic>
              </a:graphicData>
            </a:graphic>
          </wp:inline>
        </w:drawing>
      </w:r>
    </w:p>
    <w:sectPr>
      <w:pgSz w:w="11906" w:h="16838"/>
      <w:pgMar w:top="1134" w:right="1417" w:bottom="1134" w:left="1417"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文星简黑体">
    <w:altName w:val="黑体"/>
    <w:panose1 w:val="00000000000000000000"/>
    <w:charset w:val="86"/>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thickThinSmallGap" w:color="auto" w:sz="12" w:space="0"/>
      </w:pBdr>
      <w:spacing w:line="240" w:lineRule="auto"/>
      <w:jc w:val="both"/>
      <w:rPr>
        <w:rFonts w:hint="eastAsia" w:ascii="华文中宋" w:hAnsi="华文中宋" w:eastAsia="华文中宋" w:cs="文星简黑体"/>
        <w:b/>
        <w:bCs/>
        <w:sz w:val="15"/>
        <w:szCs w:val="15"/>
      </w:rPr>
    </w:pPr>
    <w:r>
      <w:drawing>
        <wp:inline distT="0" distB="0" distL="114300" distR="114300">
          <wp:extent cx="1280160" cy="209550"/>
          <wp:effectExtent l="0" t="0" r="0" b="381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1"/>
                  <a:stretch>
                    <a:fillRect/>
                  </a:stretch>
                </pic:blipFill>
                <pic:spPr>
                  <a:xfrm>
                    <a:off x="0" y="0"/>
                    <a:ext cx="1280160" cy="209550"/>
                  </a:xfrm>
                  <a:prstGeom prst="rect">
                    <a:avLst/>
                  </a:prstGeom>
                  <a:noFill/>
                  <a:ln>
                    <a:noFill/>
                  </a:ln>
                </pic:spPr>
              </pic:pic>
            </a:graphicData>
          </a:graphic>
        </wp:inline>
      </w:drawing>
    </w:r>
    <w:r>
      <w:rPr>
        <w:rFonts w:hint="eastAsia"/>
        <w:lang w:val="en-US" w:eastAsia="zh-CN"/>
      </w:rPr>
      <w:t xml:space="preserve">                           </w:t>
    </w:r>
    <w:r>
      <w:rPr>
        <w:rFonts w:hint="eastAsia" w:ascii="华文中宋" w:hAnsi="华文中宋" w:eastAsia="华文中宋" w:cs="文星简黑体"/>
        <w:b/>
        <w:bCs/>
        <w:sz w:val="15"/>
        <w:szCs w:val="15"/>
        <w:lang w:val="en-US" w:eastAsia="zh-CN"/>
      </w:rPr>
      <w:t>双鸭山市水务局2021年单位资金管理情况全方位绩效评价</w:t>
    </w:r>
    <w:r>
      <w:rPr>
        <w:rFonts w:hint="eastAsia" w:ascii="华文中宋" w:hAnsi="华文中宋" w:eastAsia="华文中宋" w:cs="文星简黑体"/>
        <w:b/>
        <w:bCs/>
        <w:sz w:val="15"/>
        <w:szCs w:val="15"/>
      </w:rPr>
      <w:t>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4B8655"/>
    <w:multiLevelType w:val="singleLevel"/>
    <w:tmpl w:val="8E4B8655"/>
    <w:lvl w:ilvl="0" w:tentative="0">
      <w:start w:val="1"/>
      <w:numFmt w:val="decimal"/>
      <w:suff w:val="nothing"/>
      <w:lvlText w:val="%1、"/>
      <w:lvlJc w:val="left"/>
      <w:pPr>
        <w:ind w:left="420"/>
      </w:pPr>
    </w:lvl>
  </w:abstractNum>
  <w:abstractNum w:abstractNumId="1">
    <w:nsid w:val="C3CB21C1"/>
    <w:multiLevelType w:val="singleLevel"/>
    <w:tmpl w:val="C3CB21C1"/>
    <w:lvl w:ilvl="0" w:tentative="0">
      <w:start w:val="4"/>
      <w:numFmt w:val="chineseCounting"/>
      <w:suff w:val="nothing"/>
      <w:lvlText w:val="（%1）"/>
      <w:lvlJc w:val="left"/>
      <w:rPr>
        <w:rFonts w:hint="eastAsia"/>
      </w:rPr>
    </w:lvl>
  </w:abstractNum>
  <w:abstractNum w:abstractNumId="2">
    <w:nsid w:val="16EFB16F"/>
    <w:multiLevelType w:val="singleLevel"/>
    <w:tmpl w:val="16EFB16F"/>
    <w:lvl w:ilvl="0" w:tentative="0">
      <w:start w:val="6"/>
      <w:numFmt w:val="chineseCounting"/>
      <w:suff w:val="nothing"/>
      <w:lvlText w:val="%1、"/>
      <w:lvlJc w:val="left"/>
      <w:rPr>
        <w:rFonts w:hint="eastAsia"/>
      </w:rPr>
    </w:lvl>
  </w:abstractNum>
  <w:abstractNum w:abstractNumId="3">
    <w:nsid w:val="202D039C"/>
    <w:multiLevelType w:val="singleLevel"/>
    <w:tmpl w:val="202D039C"/>
    <w:lvl w:ilvl="0" w:tentative="0">
      <w:start w:val="4"/>
      <w:numFmt w:val="decimal"/>
      <w:suff w:val="nothing"/>
      <w:lvlText w:val="%1、"/>
      <w:lvlJc w:val="left"/>
    </w:lvl>
  </w:abstractNum>
  <w:abstractNum w:abstractNumId="4">
    <w:nsid w:val="4FDDBF70"/>
    <w:multiLevelType w:val="singleLevel"/>
    <w:tmpl w:val="4FDDBF70"/>
    <w:lvl w:ilvl="0" w:tentative="0">
      <w:start w:val="1"/>
      <w:numFmt w:val="decimal"/>
      <w:suff w:val="nothing"/>
      <w:lvlText w:val="%1、"/>
      <w:lvlJc w:val="left"/>
    </w:lvl>
  </w:abstractNum>
  <w:abstractNum w:abstractNumId="5">
    <w:nsid w:val="6F488892"/>
    <w:multiLevelType w:val="singleLevel"/>
    <w:tmpl w:val="6F488892"/>
    <w:lvl w:ilvl="0" w:tentative="0">
      <w:start w:val="5"/>
      <w:numFmt w:val="decimal"/>
      <w:suff w:val="nothing"/>
      <w:lvlText w:val="%1、"/>
      <w:lvlJc w:val="left"/>
      <w:pPr>
        <w:ind w:left="560" w:leftChars="0" w:firstLine="0" w:firstLineChars="0"/>
      </w:pPr>
    </w:lvl>
  </w:abstractNum>
  <w:abstractNum w:abstractNumId="6">
    <w:nsid w:val="792E385A"/>
    <w:multiLevelType w:val="singleLevel"/>
    <w:tmpl w:val="792E385A"/>
    <w:lvl w:ilvl="0" w:tentative="0">
      <w:start w:val="2"/>
      <w:numFmt w:val="decimal"/>
      <w:suff w:val="nothing"/>
      <w:lvlText w:val="%1、"/>
      <w:lvlJc w:val="left"/>
    </w:lvl>
  </w:abstractNum>
  <w:num w:numId="1">
    <w:abstractNumId w:val="5"/>
  </w:num>
  <w:num w:numId="2">
    <w:abstractNumId w:val="4"/>
  </w:num>
  <w:num w:numId="3">
    <w:abstractNumId w:val="3"/>
  </w:num>
  <w:num w:numId="4">
    <w:abstractNumId w:val="1"/>
  </w:num>
  <w:num w:numId="5">
    <w:abstractNumId w:val="0"/>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NkMzBkY2I4YTdkMzY3NGZlMjE2Yzc0NGY1ZTNmZTEifQ=="/>
  </w:docVars>
  <w:rsids>
    <w:rsidRoot w:val="008C6B02"/>
    <w:rsid w:val="00013919"/>
    <w:rsid w:val="000C7FED"/>
    <w:rsid w:val="001137B3"/>
    <w:rsid w:val="00124382"/>
    <w:rsid w:val="00160833"/>
    <w:rsid w:val="0020604D"/>
    <w:rsid w:val="003126A2"/>
    <w:rsid w:val="00363D3C"/>
    <w:rsid w:val="00485965"/>
    <w:rsid w:val="00577238"/>
    <w:rsid w:val="00595728"/>
    <w:rsid w:val="005D1C38"/>
    <w:rsid w:val="00781D02"/>
    <w:rsid w:val="00794A62"/>
    <w:rsid w:val="007E7317"/>
    <w:rsid w:val="00817302"/>
    <w:rsid w:val="00840E6D"/>
    <w:rsid w:val="00844593"/>
    <w:rsid w:val="00881B74"/>
    <w:rsid w:val="008C6B02"/>
    <w:rsid w:val="008C7202"/>
    <w:rsid w:val="009C2923"/>
    <w:rsid w:val="00A535C5"/>
    <w:rsid w:val="00A92949"/>
    <w:rsid w:val="00AB1040"/>
    <w:rsid w:val="00B1408D"/>
    <w:rsid w:val="00B31860"/>
    <w:rsid w:val="00B328FD"/>
    <w:rsid w:val="00B679AD"/>
    <w:rsid w:val="00BC431E"/>
    <w:rsid w:val="00C44F31"/>
    <w:rsid w:val="00D12800"/>
    <w:rsid w:val="00D5366C"/>
    <w:rsid w:val="00DA5A81"/>
    <w:rsid w:val="00DD10FE"/>
    <w:rsid w:val="00DD7FC5"/>
    <w:rsid w:val="00E246F3"/>
    <w:rsid w:val="00F0627F"/>
    <w:rsid w:val="00FD2DD4"/>
    <w:rsid w:val="01F35D9D"/>
    <w:rsid w:val="03013B51"/>
    <w:rsid w:val="0324644D"/>
    <w:rsid w:val="03923BAE"/>
    <w:rsid w:val="039F2275"/>
    <w:rsid w:val="03B25314"/>
    <w:rsid w:val="068E25F8"/>
    <w:rsid w:val="07AD47A8"/>
    <w:rsid w:val="07B05960"/>
    <w:rsid w:val="07D35E00"/>
    <w:rsid w:val="08160E89"/>
    <w:rsid w:val="087C03BD"/>
    <w:rsid w:val="087D4C2A"/>
    <w:rsid w:val="0A373160"/>
    <w:rsid w:val="0A5B1BB3"/>
    <w:rsid w:val="0A6D202A"/>
    <w:rsid w:val="0B0D45A5"/>
    <w:rsid w:val="0B266665"/>
    <w:rsid w:val="0BE059C5"/>
    <w:rsid w:val="0BE72428"/>
    <w:rsid w:val="0C4904EE"/>
    <w:rsid w:val="0CC94C14"/>
    <w:rsid w:val="0D084F0F"/>
    <w:rsid w:val="0D10175C"/>
    <w:rsid w:val="0D751495"/>
    <w:rsid w:val="0E03336A"/>
    <w:rsid w:val="0E6C0818"/>
    <w:rsid w:val="0EB71DA7"/>
    <w:rsid w:val="0F1113DA"/>
    <w:rsid w:val="0FAC6898"/>
    <w:rsid w:val="0FD46953"/>
    <w:rsid w:val="105537C7"/>
    <w:rsid w:val="11671F0B"/>
    <w:rsid w:val="118D0A67"/>
    <w:rsid w:val="11C31D17"/>
    <w:rsid w:val="1202500A"/>
    <w:rsid w:val="133F1CDB"/>
    <w:rsid w:val="13496987"/>
    <w:rsid w:val="136A393E"/>
    <w:rsid w:val="138E4075"/>
    <w:rsid w:val="140167F0"/>
    <w:rsid w:val="143A1896"/>
    <w:rsid w:val="143B7973"/>
    <w:rsid w:val="145666A2"/>
    <w:rsid w:val="146F6413"/>
    <w:rsid w:val="14B27E80"/>
    <w:rsid w:val="14FF40C4"/>
    <w:rsid w:val="1533023A"/>
    <w:rsid w:val="157423CE"/>
    <w:rsid w:val="1652346D"/>
    <w:rsid w:val="166232BA"/>
    <w:rsid w:val="16A60BE9"/>
    <w:rsid w:val="16FA298B"/>
    <w:rsid w:val="17C26DE5"/>
    <w:rsid w:val="18266F88"/>
    <w:rsid w:val="18582E15"/>
    <w:rsid w:val="185A0E91"/>
    <w:rsid w:val="197C2293"/>
    <w:rsid w:val="1A662691"/>
    <w:rsid w:val="1A9A6727"/>
    <w:rsid w:val="1AE932BF"/>
    <w:rsid w:val="1AEC26E9"/>
    <w:rsid w:val="1B001528"/>
    <w:rsid w:val="1B7F4A4D"/>
    <w:rsid w:val="1C4D4E15"/>
    <w:rsid w:val="1C5D2DB5"/>
    <w:rsid w:val="1D4B2CFB"/>
    <w:rsid w:val="1D751DB3"/>
    <w:rsid w:val="1D7E4DA7"/>
    <w:rsid w:val="1DEA0A4C"/>
    <w:rsid w:val="1DF33B72"/>
    <w:rsid w:val="1E6303EB"/>
    <w:rsid w:val="1EA45D8C"/>
    <w:rsid w:val="1EC94489"/>
    <w:rsid w:val="1FE04472"/>
    <w:rsid w:val="20065C41"/>
    <w:rsid w:val="209C6AA0"/>
    <w:rsid w:val="21B35BA0"/>
    <w:rsid w:val="21BA5CA5"/>
    <w:rsid w:val="229B5D36"/>
    <w:rsid w:val="230E4DCD"/>
    <w:rsid w:val="232726CB"/>
    <w:rsid w:val="23323232"/>
    <w:rsid w:val="23616B37"/>
    <w:rsid w:val="241B68E7"/>
    <w:rsid w:val="248957AC"/>
    <w:rsid w:val="24B90FA8"/>
    <w:rsid w:val="24BE3012"/>
    <w:rsid w:val="252C0C64"/>
    <w:rsid w:val="25657932"/>
    <w:rsid w:val="25CF0003"/>
    <w:rsid w:val="261F3F01"/>
    <w:rsid w:val="262462D8"/>
    <w:rsid w:val="27DF6F1C"/>
    <w:rsid w:val="28303E76"/>
    <w:rsid w:val="28343E86"/>
    <w:rsid w:val="28537623"/>
    <w:rsid w:val="286F3BE3"/>
    <w:rsid w:val="28BA2F26"/>
    <w:rsid w:val="28DF1261"/>
    <w:rsid w:val="29425165"/>
    <w:rsid w:val="2A5014E1"/>
    <w:rsid w:val="2A935E80"/>
    <w:rsid w:val="2ABB6221"/>
    <w:rsid w:val="2B1D1784"/>
    <w:rsid w:val="2D612373"/>
    <w:rsid w:val="2D9620E2"/>
    <w:rsid w:val="2DC25921"/>
    <w:rsid w:val="2DE76EC0"/>
    <w:rsid w:val="2E027E0C"/>
    <w:rsid w:val="2EBF444A"/>
    <w:rsid w:val="305E5A05"/>
    <w:rsid w:val="30D52878"/>
    <w:rsid w:val="31651A8E"/>
    <w:rsid w:val="31B8575A"/>
    <w:rsid w:val="32755904"/>
    <w:rsid w:val="32B76A76"/>
    <w:rsid w:val="330B72B6"/>
    <w:rsid w:val="33E15F2E"/>
    <w:rsid w:val="34B908ED"/>
    <w:rsid w:val="34D51BC7"/>
    <w:rsid w:val="34DD0F26"/>
    <w:rsid w:val="34EE624D"/>
    <w:rsid w:val="35240724"/>
    <w:rsid w:val="355A272F"/>
    <w:rsid w:val="356D6FC5"/>
    <w:rsid w:val="35A40141"/>
    <w:rsid w:val="360D6A9A"/>
    <w:rsid w:val="364507C2"/>
    <w:rsid w:val="3758108A"/>
    <w:rsid w:val="379166F6"/>
    <w:rsid w:val="379F3410"/>
    <w:rsid w:val="37F862D0"/>
    <w:rsid w:val="384653A1"/>
    <w:rsid w:val="3851393D"/>
    <w:rsid w:val="38863D9E"/>
    <w:rsid w:val="391A0D07"/>
    <w:rsid w:val="396F3CB6"/>
    <w:rsid w:val="39715743"/>
    <w:rsid w:val="39D4043B"/>
    <w:rsid w:val="3AD46FCD"/>
    <w:rsid w:val="3AF259D9"/>
    <w:rsid w:val="3B243CB4"/>
    <w:rsid w:val="3B2A1E0A"/>
    <w:rsid w:val="3BD00D17"/>
    <w:rsid w:val="3CA16E16"/>
    <w:rsid w:val="3CF5658B"/>
    <w:rsid w:val="3E0B5FFF"/>
    <w:rsid w:val="3E28202C"/>
    <w:rsid w:val="3FD62729"/>
    <w:rsid w:val="40062B95"/>
    <w:rsid w:val="40171503"/>
    <w:rsid w:val="42AB387B"/>
    <w:rsid w:val="43B45677"/>
    <w:rsid w:val="443C2875"/>
    <w:rsid w:val="44551E1E"/>
    <w:rsid w:val="44D65969"/>
    <w:rsid w:val="451E21BE"/>
    <w:rsid w:val="459F0A5F"/>
    <w:rsid w:val="467A1037"/>
    <w:rsid w:val="4681215A"/>
    <w:rsid w:val="46B642F7"/>
    <w:rsid w:val="47A821BB"/>
    <w:rsid w:val="486A7FEF"/>
    <w:rsid w:val="488C4866"/>
    <w:rsid w:val="489572B9"/>
    <w:rsid w:val="48DE1328"/>
    <w:rsid w:val="48E471B4"/>
    <w:rsid w:val="48FF5532"/>
    <w:rsid w:val="4988576F"/>
    <w:rsid w:val="49B23A6D"/>
    <w:rsid w:val="49C80909"/>
    <w:rsid w:val="4A010AA2"/>
    <w:rsid w:val="4A110D59"/>
    <w:rsid w:val="4A92047F"/>
    <w:rsid w:val="4AA17939"/>
    <w:rsid w:val="4B146953"/>
    <w:rsid w:val="4BA425C0"/>
    <w:rsid w:val="4C0C4DE9"/>
    <w:rsid w:val="4C215AB1"/>
    <w:rsid w:val="4C82288C"/>
    <w:rsid w:val="4CA93C6C"/>
    <w:rsid w:val="4CC050F4"/>
    <w:rsid w:val="4CE4545C"/>
    <w:rsid w:val="4DB24AFC"/>
    <w:rsid w:val="4E99293F"/>
    <w:rsid w:val="4EC3720A"/>
    <w:rsid w:val="4EF3351E"/>
    <w:rsid w:val="4F2A5869"/>
    <w:rsid w:val="4F4216BD"/>
    <w:rsid w:val="51C15B89"/>
    <w:rsid w:val="52501044"/>
    <w:rsid w:val="5275505B"/>
    <w:rsid w:val="534541B5"/>
    <w:rsid w:val="535104A1"/>
    <w:rsid w:val="53647135"/>
    <w:rsid w:val="53E61481"/>
    <w:rsid w:val="54BF0808"/>
    <w:rsid w:val="552A5663"/>
    <w:rsid w:val="57B37ED9"/>
    <w:rsid w:val="58D93EF3"/>
    <w:rsid w:val="5A3033FA"/>
    <w:rsid w:val="5AB137DE"/>
    <w:rsid w:val="5AB614E7"/>
    <w:rsid w:val="5BEF30A3"/>
    <w:rsid w:val="5C0E2DF4"/>
    <w:rsid w:val="5C896814"/>
    <w:rsid w:val="5CC317C9"/>
    <w:rsid w:val="5CEC71A3"/>
    <w:rsid w:val="5D1A087D"/>
    <w:rsid w:val="5DBE4BC3"/>
    <w:rsid w:val="5E4D71D2"/>
    <w:rsid w:val="5E6A2C36"/>
    <w:rsid w:val="5EF656F3"/>
    <w:rsid w:val="5F5F5528"/>
    <w:rsid w:val="5FA95D3A"/>
    <w:rsid w:val="60407A95"/>
    <w:rsid w:val="6098513F"/>
    <w:rsid w:val="60C6693B"/>
    <w:rsid w:val="615608C0"/>
    <w:rsid w:val="62002FE9"/>
    <w:rsid w:val="627F1982"/>
    <w:rsid w:val="62AE6DDC"/>
    <w:rsid w:val="62E2428A"/>
    <w:rsid w:val="638F5C8F"/>
    <w:rsid w:val="646F7997"/>
    <w:rsid w:val="65714094"/>
    <w:rsid w:val="65757FFC"/>
    <w:rsid w:val="66284341"/>
    <w:rsid w:val="66304E97"/>
    <w:rsid w:val="66746C92"/>
    <w:rsid w:val="68874578"/>
    <w:rsid w:val="6897372E"/>
    <w:rsid w:val="692E2953"/>
    <w:rsid w:val="69992483"/>
    <w:rsid w:val="6A5C1E7D"/>
    <w:rsid w:val="6B3E7A83"/>
    <w:rsid w:val="6B404E59"/>
    <w:rsid w:val="6B8F153D"/>
    <w:rsid w:val="6C147F75"/>
    <w:rsid w:val="6C410CD5"/>
    <w:rsid w:val="6CAE2F39"/>
    <w:rsid w:val="6CFA11A6"/>
    <w:rsid w:val="6E281732"/>
    <w:rsid w:val="6E7B2F1F"/>
    <w:rsid w:val="6E8258F3"/>
    <w:rsid w:val="6ED32846"/>
    <w:rsid w:val="6FB07FFB"/>
    <w:rsid w:val="711B6E48"/>
    <w:rsid w:val="71C261CD"/>
    <w:rsid w:val="72875E9F"/>
    <w:rsid w:val="728F3C83"/>
    <w:rsid w:val="72982DF8"/>
    <w:rsid w:val="72D01CBC"/>
    <w:rsid w:val="72FC1F3F"/>
    <w:rsid w:val="732A3CB7"/>
    <w:rsid w:val="73A7129E"/>
    <w:rsid w:val="73CD075C"/>
    <w:rsid w:val="74EE7EA6"/>
    <w:rsid w:val="74F04A56"/>
    <w:rsid w:val="75DA1811"/>
    <w:rsid w:val="76D44A42"/>
    <w:rsid w:val="78694A67"/>
    <w:rsid w:val="79402A4A"/>
    <w:rsid w:val="79D03F99"/>
    <w:rsid w:val="7ABD6EA9"/>
    <w:rsid w:val="7B394D01"/>
    <w:rsid w:val="7BCE2CB0"/>
    <w:rsid w:val="7C050016"/>
    <w:rsid w:val="7C081B07"/>
    <w:rsid w:val="7CFB623C"/>
    <w:rsid w:val="7D347128"/>
    <w:rsid w:val="7D716D2A"/>
    <w:rsid w:val="7DDC7AE5"/>
    <w:rsid w:val="7E2805C1"/>
    <w:rsid w:val="7E673F35"/>
    <w:rsid w:val="7E8B7130"/>
    <w:rsid w:val="7F064132"/>
    <w:rsid w:val="7F170EBD"/>
    <w:rsid w:val="7F5C66F9"/>
    <w:rsid w:val="7FD727E4"/>
    <w:rsid w:val="7FF32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overflowPunct w:val="0"/>
      <w:autoSpaceDE w:val="0"/>
      <w:autoSpaceDN w:val="0"/>
      <w:adjustRightInd w:val="0"/>
      <w:jc w:val="both"/>
      <w:textAlignment w:val="baseline"/>
    </w:pPr>
    <w:rPr>
      <w:rFonts w:ascii="Times New Roman" w:hAnsi="Times New Roman" w:eastAsia="宋体" w:cs="Times New Roman"/>
      <w:sz w:val="21"/>
      <w:szCs w:val="21"/>
      <w:lang w:val="en-US" w:eastAsia="zh-CN" w:bidi="ar-SA"/>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b/>
      <w:sz w:val="36"/>
      <w:szCs w:val="36"/>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Calibri" w:hAnsi="Calibri"/>
      <w:sz w:val="24"/>
      <w:lang w:val="en-GB" w:eastAsia="en-GB"/>
    </w:rPr>
  </w:style>
  <w:style w:type="paragraph" w:styleId="5">
    <w:name w:val="table of authorities"/>
    <w:basedOn w:val="1"/>
    <w:next w:val="1"/>
    <w:qFormat/>
    <w:uiPriority w:val="0"/>
    <w:pPr>
      <w:ind w:left="200" w:leftChars="200"/>
    </w:pPr>
    <w:rPr>
      <w:rFonts w:ascii="Times New Roman" w:hAnsi="Times New Roman" w:eastAsia="宋体" w:cs="方正小标宋简体"/>
      <w:sz w:val="44"/>
      <w:szCs w:val="44"/>
    </w:rPr>
  </w:style>
  <w:style w:type="paragraph" w:styleId="6">
    <w:name w:val="Normal Indent"/>
    <w:qFormat/>
    <w:uiPriority w:val="0"/>
    <w:pPr>
      <w:ind w:firstLine="420" w:firstLineChars="200"/>
    </w:pPr>
    <w:rPr>
      <w:rFonts w:ascii="Calibri" w:hAnsi="Calibri" w:eastAsia="宋体" w:cs="Times New Roman"/>
      <w:kern w:val="2"/>
      <w:sz w:val="21"/>
      <w:szCs w:val="24"/>
      <w:lang w:val="en-US" w:eastAsia="zh-CN" w:bidi="ar-SA"/>
    </w:rPr>
  </w:style>
  <w:style w:type="paragraph" w:styleId="7">
    <w:name w:val="Date"/>
    <w:basedOn w:val="1"/>
    <w:next w:val="1"/>
    <w:qFormat/>
    <w:uiPriority w:val="0"/>
    <w:pPr>
      <w:ind w:left="100" w:leftChars="2500"/>
    </w:pPr>
    <w:rPr>
      <w:rFonts w:ascii="宋体" w:hAnsi="宋体"/>
      <w:sz w:val="2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qFormat/>
    <w:uiPriority w:val="0"/>
    <w:rPr>
      <w:color w:val="0000FF"/>
      <w:u w:val="single"/>
    </w:rPr>
  </w:style>
  <w:style w:type="paragraph" w:customStyle="1" w:styleId="16">
    <w:name w:val="正文文本缩进 21"/>
    <w:basedOn w:val="1"/>
    <w:qFormat/>
    <w:uiPriority w:val="0"/>
    <w:pPr>
      <w:ind w:firstLine="899" w:firstLineChars="281"/>
    </w:pPr>
    <w:rPr>
      <w:rFonts w:ascii="仿宋_GB2312" w:eastAsia="仿宋_GB2312"/>
      <w:sz w:val="32"/>
    </w:rPr>
  </w:style>
  <w:style w:type="paragraph" w:customStyle="1" w:styleId="17">
    <w:name w:val="列出段落1"/>
    <w:basedOn w:val="1"/>
    <w:qFormat/>
    <w:uiPriority w:val="34"/>
    <w:pPr>
      <w:ind w:firstLine="420" w:firstLineChars="200"/>
    </w:pPr>
    <w:rPr>
      <w:rFonts w:ascii="Times New Roman" w:hAnsi="Times New Roman" w:eastAsia="宋体" w:cs="Times New Roman"/>
      <w:szCs w:val="20"/>
    </w:rPr>
  </w:style>
  <w:style w:type="paragraph" w:customStyle="1" w:styleId="18">
    <w:name w:val="p0"/>
    <w:basedOn w:val="1"/>
    <w:qFormat/>
    <w:uiPriority w:val="0"/>
    <w:pPr>
      <w:adjustRightInd/>
      <w:textAlignment w:val="auto"/>
    </w:pPr>
    <w:rPr>
      <w:rFonts w:ascii="Calibri" w:hAnsi="Calibri"/>
    </w:rPr>
  </w:style>
  <w:style w:type="paragraph" w:customStyle="1" w:styleId="19">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0">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heme="minorBidi"/>
      <w:kern w:val="2"/>
      <w:sz w:val="32"/>
      <w:szCs w:val="32"/>
      <w:lang w:val="en-US" w:eastAsia="zh-CN" w:bidi="ar-SA"/>
    </w:rPr>
  </w:style>
  <w:style w:type="paragraph" w:styleId="21">
    <w:name w:val="List Paragraph"/>
    <w:basedOn w:val="1"/>
    <w:qFormat/>
    <w:uiPriority w:val="99"/>
    <w:pPr>
      <w:ind w:firstLine="420" w:firstLineChars="200"/>
    </w:pPr>
  </w:style>
  <w:style w:type="character" w:customStyle="1" w:styleId="22">
    <w:name w:val="font11"/>
    <w:basedOn w:val="14"/>
    <w:qFormat/>
    <w:uiPriority w:val="0"/>
    <w:rPr>
      <w:rFonts w:hint="eastAsia" w:ascii="宋体" w:hAnsi="宋体" w:eastAsia="宋体" w:cs="宋体"/>
      <w:color w:val="000000"/>
      <w:sz w:val="20"/>
      <w:szCs w:val="20"/>
      <w:u w:val="none"/>
    </w:rPr>
  </w:style>
  <w:style w:type="character" w:customStyle="1" w:styleId="23">
    <w:name w:val="font01"/>
    <w:basedOn w:val="14"/>
    <w:qFormat/>
    <w:uiPriority w:val="0"/>
    <w:rPr>
      <w:rFonts w:ascii="微软雅黑" w:hAnsi="微软雅黑" w:eastAsia="微软雅黑" w:cs="微软雅黑"/>
      <w:color w:val="000000"/>
      <w:sz w:val="20"/>
      <w:szCs w:val="20"/>
      <w:u w:val="none"/>
    </w:rPr>
  </w:style>
  <w:style w:type="paragraph" w:customStyle="1" w:styleId="24">
    <w:name w:val="WPSOffice手动目录 1"/>
    <w:qFormat/>
    <w:uiPriority w:val="0"/>
    <w:rPr>
      <w:rFonts w:ascii="Times New Roman" w:hAnsi="Times New Roman" w:eastAsia="宋体" w:cs="Times New Roman"/>
      <w:lang w:val="en-US" w:eastAsia="zh-CN" w:bidi="ar-SA"/>
    </w:rPr>
  </w:style>
  <w:style w:type="paragraph" w:customStyle="1" w:styleId="25">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6">
    <w:name w:val="font181"/>
    <w:basedOn w:val="14"/>
    <w:qFormat/>
    <w:uiPriority w:val="0"/>
    <w:rPr>
      <w:rFonts w:hint="eastAsia" w:ascii="宋体" w:hAnsi="宋体" w:eastAsia="宋体" w:cs="宋体"/>
      <w:color w:val="000000"/>
      <w:sz w:val="32"/>
      <w:szCs w:val="32"/>
      <w:u w:val="none"/>
    </w:rPr>
  </w:style>
  <w:style w:type="character" w:customStyle="1" w:styleId="27">
    <w:name w:val="font41"/>
    <w:basedOn w:val="14"/>
    <w:qFormat/>
    <w:uiPriority w:val="0"/>
    <w:rPr>
      <w:rFonts w:hint="eastAsia" w:ascii="宋体" w:hAnsi="宋体" w:eastAsia="宋体" w:cs="宋体"/>
      <w:color w:val="000000"/>
      <w:sz w:val="20"/>
      <w:szCs w:val="20"/>
      <w:u w:val="none"/>
    </w:rPr>
  </w:style>
  <w:style w:type="character" w:customStyle="1" w:styleId="28">
    <w:name w:val="font121"/>
    <w:basedOn w:val="14"/>
    <w:qFormat/>
    <w:uiPriority w:val="0"/>
    <w:rPr>
      <w:rFonts w:hint="eastAsia" w:ascii="宋体" w:hAnsi="宋体" w:eastAsia="宋体" w:cs="宋体"/>
      <w:color w:val="000000"/>
      <w:sz w:val="20"/>
      <w:szCs w:val="20"/>
      <w:u w:val="none"/>
    </w:rPr>
  </w:style>
  <w:style w:type="character" w:customStyle="1" w:styleId="29">
    <w:name w:val="font151"/>
    <w:basedOn w:val="14"/>
    <w:qFormat/>
    <w:uiPriority w:val="0"/>
    <w:rPr>
      <w:rFonts w:hint="eastAsia" w:ascii="宋体" w:hAnsi="宋体" w:eastAsia="宋体" w:cs="宋体"/>
      <w:color w:val="000000"/>
      <w:sz w:val="18"/>
      <w:szCs w:val="18"/>
      <w:u w:val="none"/>
    </w:rPr>
  </w:style>
  <w:style w:type="character" w:customStyle="1" w:styleId="30">
    <w:name w:val="font131"/>
    <w:basedOn w:val="14"/>
    <w:qFormat/>
    <w:uiPriority w:val="0"/>
    <w:rPr>
      <w:rFonts w:hint="eastAsia" w:ascii="宋体" w:hAnsi="宋体" w:eastAsia="宋体" w:cs="宋体"/>
      <w:b/>
      <w:color w:val="000000"/>
      <w:sz w:val="22"/>
      <w:szCs w:val="22"/>
      <w:u w:val="none"/>
    </w:rPr>
  </w:style>
  <w:style w:type="character" w:customStyle="1" w:styleId="31">
    <w:name w:val="font112"/>
    <w:basedOn w:val="14"/>
    <w:qFormat/>
    <w:uiPriority w:val="0"/>
    <w:rPr>
      <w:rFonts w:hint="eastAsia" w:ascii="宋体" w:hAnsi="宋体" w:eastAsia="宋体" w:cs="宋体"/>
      <w:b/>
      <w:color w:val="000000"/>
      <w:sz w:val="22"/>
      <w:szCs w:val="22"/>
      <w:u w:val="none"/>
    </w:rPr>
  </w:style>
  <w:style w:type="character" w:customStyle="1" w:styleId="32">
    <w:name w:val="font51"/>
    <w:basedOn w:val="14"/>
    <w:qFormat/>
    <w:uiPriority w:val="0"/>
    <w:rPr>
      <w:rFonts w:hint="eastAsia" w:ascii="宋体" w:hAnsi="宋体" w:eastAsia="宋体" w:cs="宋体"/>
      <w:color w:val="000000"/>
      <w:sz w:val="32"/>
      <w:szCs w:val="32"/>
      <w:u w:val="none"/>
    </w:rPr>
  </w:style>
  <w:style w:type="character" w:customStyle="1" w:styleId="33">
    <w:name w:val="font81"/>
    <w:basedOn w:val="14"/>
    <w:qFormat/>
    <w:uiPriority w:val="0"/>
    <w:rPr>
      <w:rFonts w:hint="eastAsia" w:ascii="宋体" w:hAnsi="宋体" w:eastAsia="宋体" w:cs="宋体"/>
      <w:color w:val="000000"/>
      <w:sz w:val="20"/>
      <w:szCs w:val="20"/>
      <w:u w:val="none"/>
    </w:rPr>
  </w:style>
  <w:style w:type="paragraph" w:customStyle="1" w:styleId="34">
    <w:name w:val="报告正文"/>
    <w:basedOn w:val="1"/>
    <w:next w:val="1"/>
    <w:link w:val="36"/>
    <w:qFormat/>
    <w:uiPriority w:val="0"/>
    <w:pPr>
      <w:widowControl w:val="0"/>
      <w:spacing w:line="560" w:lineRule="exact"/>
      <w:ind w:firstLine="200" w:firstLineChars="200"/>
      <w:jc w:val="both"/>
    </w:pPr>
    <w:rPr>
      <w:rFonts w:eastAsia="仿宋" w:cs="Times New Roman"/>
      <w:sz w:val="28"/>
      <w:szCs w:val="28"/>
    </w:rPr>
  </w:style>
  <w:style w:type="paragraph" w:customStyle="1" w:styleId="35">
    <w:name w:val="自用正文"/>
    <w:basedOn w:val="1"/>
    <w:qFormat/>
    <w:uiPriority w:val="0"/>
    <w:pPr>
      <w:spacing w:line="500" w:lineRule="exact"/>
      <w:ind w:firstLine="800" w:firstLineChars="200"/>
      <w:jc w:val="both"/>
    </w:pPr>
    <w:rPr>
      <w:sz w:val="28"/>
      <w:szCs w:val="28"/>
    </w:rPr>
  </w:style>
  <w:style w:type="character" w:customStyle="1" w:styleId="36">
    <w:name w:val="报告正文 Char"/>
    <w:link w:val="34"/>
    <w:qFormat/>
    <w:uiPriority w:val="0"/>
    <w:rPr>
      <w:rFonts w:eastAsia="仿宋" w:cs="Times New Roman"/>
      <w:sz w:val="28"/>
      <w:szCs w:val="28"/>
    </w:rPr>
  </w:style>
  <w:style w:type="paragraph" w:customStyle="1" w:styleId="37">
    <w:name w:val="Body text|1"/>
    <w:basedOn w:val="1"/>
    <w:qFormat/>
    <w:uiPriority w:val="0"/>
    <w:pPr>
      <w:widowControl w:val="0"/>
      <w:shd w:val="clear" w:color="auto" w:fill="auto"/>
      <w:spacing w:line="415" w:lineRule="auto"/>
      <w:ind w:firstLine="400"/>
    </w:pPr>
    <w:rPr>
      <w:rFonts w:ascii="宋体" w:hAnsi="宋体" w:eastAsia="宋体" w:cs="宋体"/>
      <w:sz w:val="26"/>
      <w:szCs w:val="26"/>
      <w:u w:val="none"/>
      <w:shd w:val="clear" w:color="auto" w:fill="auto"/>
      <w:lang w:val="zh-TW" w:eastAsia="zh-TW" w:bidi="zh-TW"/>
    </w:rPr>
  </w:style>
  <w:style w:type="character" w:customStyle="1" w:styleId="38">
    <w:name w:val="font21"/>
    <w:basedOn w:val="14"/>
    <w:qFormat/>
    <w:uiPriority w:val="0"/>
    <w:rPr>
      <w:rFonts w:hint="eastAsia" w:ascii="宋体" w:hAnsi="宋体" w:eastAsia="宋体" w:cs="宋体"/>
      <w:color w:val="000000"/>
      <w:sz w:val="20"/>
      <w:szCs w:val="20"/>
      <w:u w:val="none"/>
    </w:rPr>
  </w:style>
  <w:style w:type="character" w:customStyle="1" w:styleId="39">
    <w:name w:val="font31"/>
    <w:basedOn w:val="1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55</Pages>
  <Words>28467</Words>
  <Characters>30037</Characters>
  <Lines>314</Lines>
  <Paragraphs>88</Paragraphs>
  <TotalTime>48</TotalTime>
  <ScaleCrop>false</ScaleCrop>
  <LinksUpToDate>false</LinksUpToDate>
  <CharactersWithSpaces>36998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2021-06-13T16:34:00Z</dcterms:created>
  <dc:creator>zl</dc:creator>
  <cp:lastModifiedBy>D608</cp:lastModifiedBy>
  <cp:lastPrinted>2021-06-30T09:45:00Z</cp:lastPrinted>
  <dcterms:modified xsi:type="dcterms:W3CDTF">2023-03-16T01:04:41Z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52D1BDD695E748429C83EF05E2DBE199</vt:lpwstr>
  </property>
</Properties>
</file>