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textAlignment w:val="baseline"/>
        <w:rPr>
          <w:rFonts w:hint="eastAsia" w:ascii="黑体" w:hAnsi="黑体" w:eastAsia="黑体" w:cs="黑体"/>
          <w:sz w:val="32"/>
          <w:szCs w:val="32"/>
          <w:u w:val="single"/>
        </w:rPr>
      </w:pPr>
      <w:r>
        <w:rPr>
          <w:rFonts w:hint="eastAsia" w:ascii="黑体" w:hAnsi="黑体" w:eastAsia="黑体" w:cs="黑体"/>
          <w:sz w:val="32"/>
          <w:szCs w:val="32"/>
        </w:rPr>
        <w:t xml:space="preserve">附件： </w:t>
      </w:r>
    </w:p>
    <w:p>
      <w:pPr>
        <w:jc w:val="center"/>
        <w:textAlignment w:val="baseline"/>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u w:val="single"/>
        </w:rPr>
        <w:t xml:space="preserve"> 双鸭山市 </w:t>
      </w:r>
      <w:r>
        <w:rPr>
          <w:rFonts w:hint="eastAsia" w:ascii="方正小标宋简体" w:hAnsi="方正小标宋简体" w:eastAsia="方正小标宋简体" w:cs="方正小标宋简体"/>
          <w:sz w:val="44"/>
          <w:szCs w:val="44"/>
        </w:rPr>
        <w:t>2021年部门联合抽查计划</w:t>
      </w:r>
    </w:p>
    <w:tbl>
      <w:tblPr>
        <w:tblStyle w:val="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11"/>
        <w:gridCol w:w="1363"/>
        <w:gridCol w:w="1460"/>
        <w:gridCol w:w="1680"/>
        <w:gridCol w:w="1342"/>
        <w:gridCol w:w="876"/>
        <w:gridCol w:w="987"/>
        <w:gridCol w:w="1031"/>
        <w:gridCol w:w="806"/>
        <w:gridCol w:w="694"/>
        <w:gridCol w:w="987"/>
        <w:gridCol w:w="824"/>
        <w:gridCol w:w="4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6" w:hRule="atLeast"/>
        </w:trPr>
        <w:tc>
          <w:tcPr>
            <w:tcW w:w="5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黑体" w:hAnsi="黑体" w:eastAsia="黑体" w:cs="黑体"/>
                <w:sz w:val="21"/>
                <w:szCs w:val="21"/>
              </w:rPr>
            </w:pPr>
            <w:r>
              <w:rPr>
                <w:rFonts w:hint="eastAsia" w:ascii="黑体" w:hAnsi="黑体" w:eastAsia="黑体" w:cs="黑体"/>
                <w:sz w:val="21"/>
                <w:szCs w:val="21"/>
              </w:rPr>
              <w:t>序号</w:t>
            </w:r>
          </w:p>
        </w:tc>
        <w:tc>
          <w:tcPr>
            <w:tcW w:w="1363"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黑体" w:hAnsi="黑体" w:eastAsia="黑体" w:cs="黑体"/>
                <w:sz w:val="21"/>
                <w:szCs w:val="21"/>
              </w:rPr>
            </w:pPr>
            <w:r>
              <w:rPr>
                <w:rFonts w:hint="eastAsia" w:ascii="黑体" w:hAnsi="黑体" w:eastAsia="黑体" w:cs="黑体"/>
                <w:sz w:val="21"/>
                <w:szCs w:val="21"/>
              </w:rPr>
              <w:t>抽查计划名称</w:t>
            </w:r>
          </w:p>
        </w:tc>
        <w:tc>
          <w:tcPr>
            <w:tcW w:w="1460"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黑体" w:hAnsi="黑体" w:eastAsia="黑体" w:cs="黑体"/>
                <w:sz w:val="21"/>
                <w:szCs w:val="21"/>
              </w:rPr>
            </w:pPr>
            <w:r>
              <w:rPr>
                <w:rFonts w:hint="eastAsia" w:ascii="黑体" w:hAnsi="黑体" w:eastAsia="黑体" w:cs="黑体"/>
                <w:sz w:val="21"/>
                <w:szCs w:val="21"/>
              </w:rPr>
              <w:t>抽查任务</w:t>
            </w:r>
          </w:p>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黑体" w:hAnsi="黑体" w:eastAsia="黑体" w:cs="黑体"/>
                <w:sz w:val="21"/>
                <w:szCs w:val="21"/>
              </w:rPr>
            </w:pPr>
            <w:r>
              <w:rPr>
                <w:rFonts w:hint="eastAsia" w:ascii="黑体" w:hAnsi="黑体" w:eastAsia="黑体" w:cs="黑体"/>
                <w:sz w:val="21"/>
                <w:szCs w:val="21"/>
              </w:rPr>
              <w:t>名称</w:t>
            </w:r>
          </w:p>
        </w:tc>
        <w:tc>
          <w:tcPr>
            <w:tcW w:w="1680"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黑体" w:hAnsi="黑体" w:eastAsia="黑体" w:cs="黑体"/>
                <w:sz w:val="21"/>
                <w:szCs w:val="21"/>
              </w:rPr>
            </w:pPr>
            <w:r>
              <w:rPr>
                <w:rFonts w:hint="eastAsia" w:ascii="黑体" w:hAnsi="黑体" w:eastAsia="黑体" w:cs="黑体"/>
                <w:sz w:val="21"/>
                <w:szCs w:val="21"/>
              </w:rPr>
              <w:t>抽查事项</w:t>
            </w:r>
          </w:p>
        </w:tc>
        <w:tc>
          <w:tcPr>
            <w:tcW w:w="1342"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黑体" w:hAnsi="黑体" w:eastAsia="黑体" w:cs="黑体"/>
                <w:sz w:val="21"/>
                <w:szCs w:val="21"/>
              </w:rPr>
            </w:pPr>
            <w:r>
              <w:rPr>
                <w:rFonts w:hint="eastAsia" w:ascii="黑体" w:hAnsi="黑体" w:eastAsia="黑体" w:cs="黑体"/>
                <w:sz w:val="21"/>
                <w:szCs w:val="21"/>
              </w:rPr>
              <w:t>抽查</w:t>
            </w:r>
          </w:p>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黑体" w:hAnsi="黑体" w:eastAsia="黑体" w:cs="黑体"/>
                <w:sz w:val="21"/>
                <w:szCs w:val="21"/>
              </w:rPr>
            </w:pPr>
            <w:r>
              <w:rPr>
                <w:rFonts w:hint="eastAsia" w:ascii="黑体" w:hAnsi="黑体" w:eastAsia="黑体" w:cs="黑体"/>
                <w:sz w:val="21"/>
                <w:szCs w:val="21"/>
              </w:rPr>
              <w:t>对象</w:t>
            </w:r>
          </w:p>
        </w:tc>
        <w:tc>
          <w:tcPr>
            <w:tcW w:w="876"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黑体" w:hAnsi="黑体" w:eastAsia="黑体" w:cs="黑体"/>
                <w:sz w:val="21"/>
                <w:szCs w:val="21"/>
              </w:rPr>
            </w:pPr>
            <w:r>
              <w:rPr>
                <w:rFonts w:hint="eastAsia" w:ascii="黑体" w:hAnsi="黑体" w:eastAsia="黑体" w:cs="黑体"/>
                <w:sz w:val="21"/>
                <w:szCs w:val="21"/>
              </w:rPr>
              <w:t>抽查对象来源</w:t>
            </w:r>
          </w:p>
        </w:tc>
        <w:tc>
          <w:tcPr>
            <w:tcW w:w="987"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黑体" w:hAnsi="黑体" w:eastAsia="黑体" w:cs="黑体"/>
                <w:sz w:val="21"/>
                <w:szCs w:val="21"/>
              </w:rPr>
            </w:pPr>
            <w:r>
              <w:rPr>
                <w:rFonts w:hint="eastAsia" w:ascii="黑体" w:hAnsi="黑体" w:eastAsia="黑体" w:cs="黑体"/>
                <w:sz w:val="21"/>
                <w:szCs w:val="21"/>
              </w:rPr>
              <w:t>发起</w:t>
            </w:r>
          </w:p>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黑体" w:hAnsi="黑体" w:eastAsia="黑体" w:cs="黑体"/>
                <w:sz w:val="21"/>
                <w:szCs w:val="21"/>
              </w:rPr>
            </w:pPr>
            <w:r>
              <w:rPr>
                <w:rFonts w:hint="eastAsia" w:ascii="黑体" w:hAnsi="黑体" w:eastAsia="黑体" w:cs="黑体"/>
                <w:sz w:val="21"/>
                <w:szCs w:val="21"/>
              </w:rPr>
              <w:t>部门</w:t>
            </w:r>
          </w:p>
        </w:tc>
        <w:tc>
          <w:tcPr>
            <w:tcW w:w="103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黑体" w:hAnsi="黑体" w:eastAsia="黑体" w:cs="黑体"/>
                <w:sz w:val="21"/>
                <w:szCs w:val="21"/>
              </w:rPr>
            </w:pPr>
            <w:r>
              <w:rPr>
                <w:rFonts w:hint="eastAsia" w:ascii="黑体" w:hAnsi="黑体" w:eastAsia="黑体" w:cs="黑体"/>
                <w:sz w:val="21"/>
                <w:szCs w:val="21"/>
              </w:rPr>
              <w:t>配合</w:t>
            </w:r>
          </w:p>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黑体" w:hAnsi="黑体" w:eastAsia="黑体" w:cs="黑体"/>
                <w:sz w:val="21"/>
                <w:szCs w:val="21"/>
              </w:rPr>
            </w:pPr>
            <w:r>
              <w:rPr>
                <w:rFonts w:hint="eastAsia" w:ascii="黑体" w:hAnsi="黑体" w:eastAsia="黑体" w:cs="黑体"/>
                <w:sz w:val="21"/>
                <w:szCs w:val="21"/>
              </w:rPr>
              <w:t>部门</w:t>
            </w:r>
          </w:p>
        </w:tc>
        <w:tc>
          <w:tcPr>
            <w:tcW w:w="806"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黑体" w:hAnsi="黑体" w:eastAsia="黑体" w:cs="黑体"/>
                <w:sz w:val="21"/>
                <w:szCs w:val="21"/>
              </w:rPr>
            </w:pPr>
            <w:r>
              <w:rPr>
                <w:rFonts w:hint="eastAsia" w:ascii="黑体" w:hAnsi="黑体" w:eastAsia="黑体" w:cs="黑体"/>
                <w:sz w:val="21"/>
                <w:szCs w:val="21"/>
              </w:rPr>
              <w:t>检查主体</w:t>
            </w:r>
          </w:p>
        </w:tc>
        <w:tc>
          <w:tcPr>
            <w:tcW w:w="694"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黑体" w:hAnsi="黑体" w:eastAsia="黑体" w:cs="黑体"/>
                <w:sz w:val="21"/>
                <w:szCs w:val="21"/>
              </w:rPr>
            </w:pPr>
            <w:r>
              <w:rPr>
                <w:rFonts w:hint="eastAsia" w:ascii="黑体" w:hAnsi="黑体" w:eastAsia="黑体" w:cs="黑体"/>
                <w:sz w:val="21"/>
                <w:szCs w:val="21"/>
              </w:rPr>
              <w:t>抽查</w:t>
            </w:r>
          </w:p>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黑体" w:hAnsi="黑体" w:eastAsia="黑体" w:cs="黑体"/>
                <w:sz w:val="21"/>
                <w:szCs w:val="21"/>
              </w:rPr>
            </w:pPr>
            <w:r>
              <w:rPr>
                <w:rFonts w:hint="eastAsia" w:ascii="黑体" w:hAnsi="黑体" w:eastAsia="黑体" w:cs="黑体"/>
                <w:sz w:val="21"/>
                <w:szCs w:val="21"/>
              </w:rPr>
              <w:t>比例</w:t>
            </w:r>
          </w:p>
        </w:tc>
        <w:tc>
          <w:tcPr>
            <w:tcW w:w="987"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黑体" w:hAnsi="黑体" w:eastAsia="黑体" w:cs="黑体"/>
                <w:sz w:val="21"/>
                <w:szCs w:val="21"/>
              </w:rPr>
            </w:pPr>
            <w:r>
              <w:rPr>
                <w:rFonts w:hint="eastAsia" w:ascii="黑体" w:hAnsi="黑体" w:eastAsia="黑体" w:cs="黑体"/>
                <w:sz w:val="21"/>
                <w:szCs w:val="21"/>
              </w:rPr>
              <w:t>抽查时间</w:t>
            </w:r>
          </w:p>
        </w:tc>
        <w:tc>
          <w:tcPr>
            <w:tcW w:w="824"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黑体" w:hAnsi="黑体" w:eastAsia="黑体" w:cs="黑体"/>
                <w:sz w:val="21"/>
                <w:szCs w:val="21"/>
              </w:rPr>
            </w:pPr>
            <w:r>
              <w:rPr>
                <w:rFonts w:hint="eastAsia" w:ascii="黑体" w:hAnsi="黑体" w:eastAsia="黑体" w:cs="黑体"/>
                <w:sz w:val="21"/>
                <w:szCs w:val="21"/>
              </w:rPr>
              <w:t>抽查</w:t>
            </w:r>
          </w:p>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黑体" w:hAnsi="黑体" w:eastAsia="黑体" w:cs="黑体"/>
                <w:sz w:val="21"/>
                <w:szCs w:val="21"/>
              </w:rPr>
            </w:pPr>
            <w:r>
              <w:rPr>
                <w:rFonts w:hint="eastAsia" w:ascii="黑体" w:hAnsi="黑体" w:eastAsia="黑体" w:cs="黑体"/>
                <w:sz w:val="21"/>
                <w:szCs w:val="21"/>
              </w:rPr>
              <w:t>基数</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黑体" w:hAnsi="黑体" w:eastAsia="黑体" w:cs="黑体"/>
                <w:sz w:val="21"/>
                <w:szCs w:val="21"/>
              </w:rPr>
            </w:pPr>
            <w:r>
              <w:rPr>
                <w:rFonts w:hint="eastAsia" w:ascii="黑体" w:hAnsi="黑体" w:eastAsia="黑体" w:cs="黑体"/>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1363"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双鸭山市2021年部门联合抽查计划</w:t>
            </w:r>
          </w:p>
        </w:tc>
        <w:tc>
          <w:tcPr>
            <w:tcW w:w="1460"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对从事职业中介活动的经营性人力资源服务机构的检查</w:t>
            </w:r>
          </w:p>
        </w:tc>
        <w:tc>
          <w:tcPr>
            <w:tcW w:w="1680"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从事职业中介活动的经营性人力资源服务机构的检查</w:t>
            </w:r>
          </w:p>
        </w:tc>
        <w:tc>
          <w:tcPr>
            <w:tcW w:w="1342"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从事职业中介活动的经营性人力资源服务机构</w:t>
            </w:r>
          </w:p>
        </w:tc>
        <w:tc>
          <w:tcPr>
            <w:tcW w:w="876"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模板导入</w:t>
            </w:r>
          </w:p>
        </w:tc>
        <w:tc>
          <w:tcPr>
            <w:tcW w:w="987"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市场监管部门</w:t>
            </w:r>
          </w:p>
        </w:tc>
        <w:tc>
          <w:tcPr>
            <w:tcW w:w="103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人社部门</w:t>
            </w:r>
          </w:p>
        </w:tc>
        <w:tc>
          <w:tcPr>
            <w:tcW w:w="806"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市级</w:t>
            </w:r>
          </w:p>
        </w:tc>
        <w:tc>
          <w:tcPr>
            <w:tcW w:w="694"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w:t>
            </w:r>
          </w:p>
        </w:tc>
        <w:tc>
          <w:tcPr>
            <w:tcW w:w="987"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3月1日至10月15日</w:t>
            </w:r>
          </w:p>
        </w:tc>
        <w:tc>
          <w:tcPr>
            <w:tcW w:w="824"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30</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04"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p>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对企业登记代理、税务代理及商标代理机构部门的检查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企业登记代理、税务代理及商标代理机构的检查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1.企业登记代理机构2.税务代理机构</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市场监管部门</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税务部门</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市级</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3月1日至10月15日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11</w:t>
            </w:r>
          </w:p>
        </w:tc>
        <w:tc>
          <w:tcPr>
            <w:tcW w:w="4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对拍卖企业的检查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拍卖企业的检查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拍卖企业</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市场监管部门</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商务部门</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市级</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3月1日至10月15日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对学校食堂食品安全情况的检查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学校食堂食品安全情况的检查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各类学校</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市场监管部门</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教育部门</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市级</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3月1日至10月15日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50</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对房地产行业价格监管</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房地产行业价格监管</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房地产从业单位</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市场监管部门</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住建部门</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市级</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3月1日至10月15日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62</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对检验检测机构部门联合抽查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检验检测机构的检查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1.生态环境监测机构2.机动车排放检验机构</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市场监管部门</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生态环境部门</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市级</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3月1日至10月15日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对机动车销售企业的检查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机动车获得强制性产品认证情况的检查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机动车销售企业</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市场监管部门</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商务部门</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市级</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7%</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3月1日至10月15日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15</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宾馆、旅店监督抽查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对宾馆、旅店取得许可证情况的检查、治安安全情况的检查、卫生管理情况的检查、消防情况的检查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全市旅馆</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监管对象库筛选</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市公安局</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卫生、消防</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市公安局</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3月24日至10月31日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600</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9</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城镇污水处理厂污染物达标排放情况部门联合抽查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城镇污水处理厂污染物达标排放情况检查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城镇污水处理厂</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生态环境部门</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住建（城管）部门</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县级对应部门</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4月1日至11月30日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12</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10</w:t>
            </w:r>
          </w:p>
        </w:tc>
        <w:tc>
          <w:tcPr>
            <w:tcW w:w="136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工程咨询单位抽查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工程造价咨询企业抽查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工程造价咨询企业抽查</w:t>
            </w:r>
          </w:p>
        </w:tc>
        <w:tc>
          <w:tcPr>
            <w:tcW w:w="8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市住建局</w:t>
            </w:r>
          </w:p>
        </w:tc>
        <w:tc>
          <w:tcPr>
            <w:tcW w:w="10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市场监管部门</w:t>
            </w:r>
          </w:p>
        </w:tc>
        <w:tc>
          <w:tcPr>
            <w:tcW w:w="80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市、县级对应部门</w:t>
            </w:r>
          </w:p>
        </w:tc>
        <w:tc>
          <w:tcPr>
            <w:tcW w:w="69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40%</w:t>
            </w:r>
          </w:p>
        </w:tc>
        <w:tc>
          <w:tcPr>
            <w:tcW w:w="9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7月1日至</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11月30日</w:t>
            </w:r>
          </w:p>
        </w:tc>
        <w:tc>
          <w:tcPr>
            <w:tcW w:w="82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11</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房地产市场监督执法部门联合抽查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房地产市场监督执法检查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房地产从业单位</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市住建局</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市场监管部门</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市、县级对应部门</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5月1日至11月30日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22</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12</w:t>
            </w:r>
          </w:p>
        </w:tc>
        <w:tc>
          <w:tcPr>
            <w:tcW w:w="136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建筑市场监督执法检查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建筑市场消防情况的检查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建设工程消防审验情况及从业主体</w:t>
            </w:r>
          </w:p>
        </w:tc>
        <w:tc>
          <w:tcPr>
            <w:tcW w:w="8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市住建局</w:t>
            </w:r>
          </w:p>
        </w:tc>
        <w:tc>
          <w:tcPr>
            <w:tcW w:w="10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应急管理部门、</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消防救援部门</w:t>
            </w:r>
          </w:p>
        </w:tc>
        <w:tc>
          <w:tcPr>
            <w:tcW w:w="80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市、县级对应部门</w:t>
            </w:r>
          </w:p>
        </w:tc>
        <w:tc>
          <w:tcPr>
            <w:tcW w:w="69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w:t>
            </w:r>
          </w:p>
        </w:tc>
        <w:tc>
          <w:tcPr>
            <w:tcW w:w="9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5月1日至11月30日</w:t>
            </w:r>
          </w:p>
        </w:tc>
        <w:tc>
          <w:tcPr>
            <w:tcW w:w="82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14</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13</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园林绿化工程建设市场检查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园林绿化工程建设市场检查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市政园林绿化工程项目</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市住建局</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市场监管部门</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市、县级对应部门</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5月1日至11月30日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　</w:t>
            </w:r>
          </w:p>
        </w:tc>
        <w:tc>
          <w:tcPr>
            <w:tcW w:w="41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14</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燃气经营监督执法检查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燃气经营许可证取得情况的检查、燃气经营监督执法检查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燃气经营企业</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市住建局</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市场监管部门、消防救援部门</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市、县级对应部门</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15%</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5月1日至11月30日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7</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15</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医疗美容机构执业情况及经营行为检查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对医疗美容机构和从业人员依法执业情况以及价格，收费，发布广告等经营行为的检查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医疗美容机构</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监管对象库筛选</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市卫健委</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市市场监管局</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市级</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4月1日至9月30日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16</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道路危险货物运输企业检查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道路危险货物运输企业检查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道路危险货物运输企业</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双鸭山市交通运输局</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应急管理、市场监管、税务部门</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市级</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4月1日至11月30日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17</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影剧院、录像厅（室）、游艺厅、舞厅、音乐厅行业经营情况抽查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影剧院、录像厅（室）、游艺厅、舞厅、音乐厅取得、公示相关许可及其他情况的检查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影剧院、录像厅（室）、游艺厅、音乐厅</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双鸭山市文化广电和旅游局</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市场监管、卫健、消防救援部门</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市级对应部门</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4月1日到11月30日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7"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18</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娱乐场所经营许可证检查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娱乐场所无娱乐场所经营许可证执法检查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歌舞游艺娱乐场所</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双鸭山市文化广电和旅游局</w:t>
            </w:r>
          </w:p>
        </w:tc>
        <w:tc>
          <w:tcPr>
            <w:tcW w:w="10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市场监管、生态环境、消防救援、应急部门</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市级对应部门</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4月1日到11月30日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88</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19</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艺术品经营单位的检查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艺术品经营单位从事艺术品经营活动的检查、艺术品经营单位备案情况的检查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艺术品经营单位</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双鸭山市文化广电和旅游局</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市场监管</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市级对应部门</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4月1日到11月30日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食盐批发企业资质、流通渠道、销售范围、经营记录情况的检查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食盐批发企业资质、流通渠道、销售范围、经营记录情况检查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从事食盐批发经营企业</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工信部门</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市场监管部门</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市县区级对应部门</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4月1日至</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10月30日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46"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21</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国家常规统计调查、部门统计调查、地方统计调查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after="240"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1.调查对象设置建立原始记录、统计台账情况检查；</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2.调查对象依法为履行法定填报职责提供保障情况检查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限额以上批发零售业企业</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双鸭山市统计局</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双鸭山市商务局</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双鸭山市统计局、双鸭山市商务局</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after="240"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4月1日至6月31日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47</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22</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林草种子生产经营许可证和生产经营情况检查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林草种子生产经营许可证和生产经营情况检查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取得种子生产经营许可资格单位和从事林草种子生产经营单位和个人（市级核发许可）</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林草局</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市场监管局</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市级</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25%</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4月1日至10月30日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23</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殡葬服务单位服务公开、收费管理、制度建设、优质服务、行风建设等情况检查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殡葬服务单位服务公开、收费管理、制度建设、优质服务、行风建设等情况检查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殡葬服务单位</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监管对象库筛选</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市民政局</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市场监管、自然资源、林草、生态环境</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市、县级对应部门</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4月1日至11月30日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11</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24</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殡葬服务单位（经营性、公益性公墓）建设经营情况检查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殡葬服务单位（经营性、公益性公墓）建设经营情况检查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殡葬服务单位</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监管对象库筛选</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市民政局</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市场监管、自然资源、林草、生态环境</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市、县级对应部门</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4月1日至11月30日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11</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25</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涉嫌税收违法当事人抽查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涉嫌税收违法的纳税人、扣缴义务人、和其他涉税当事人的检查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涉嫌税收违法当事人</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监管对象库筛选</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税务部门</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公安部门</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市级对应部门</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4月15日至11月25日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26</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医疗保障基金使用违法违规行为的检查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医疗保障基金使用违法违规行为的检查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定点医疗机构</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医疗保障部门</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卫健部门</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医疗保障局</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4月1日至11月30日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109</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27</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外国人来华工作许可检查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1、相关证明文件的检查</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2、申请人护照、签证或居留许可及随行家属证明材料的检查</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3、聘用合同、工作合同、项目合同、合作协议或邀请单位邀请说明的检查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聘请外国人单位</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科技部门</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公安、教育</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市级</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4月1日至11月30日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5"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28</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对融资担保公司的检查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对融资担保公司的合规、违规检查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全市辖区内融资担保公司</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市财政局</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市市场监管局</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市财政局</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5月20日至7月31日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29</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对小额贷款公司的检查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对小额贷款公司经营合规性的检查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全市辖区内小额贷款公司</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市财政局</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市市场监管局</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市财政局</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5月20日至7月31日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9</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30</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对典当行的检查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对典当行的合规、违规检查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全市辖区内典当行</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市财政局</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市市场监管局、市公安局</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市财政局</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5月20日至7月31日</w:t>
            </w:r>
          </w:p>
        </w:tc>
        <w:tc>
          <w:tcPr>
            <w:tcW w:w="824" w:type="dxa"/>
            <w:noWrap w:val="0"/>
            <w:vAlign w:val="top"/>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31</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成品油流通领域检查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加油站经营监督检查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取得成品油零售经营资格的加油站</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商务部门</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市场监管、应急管理、税务、生态环境、自然资源、消防救援部门</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市级、县级</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4月1日至10月31日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123</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32</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新车销售市场监管</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新车销售市场监管</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新车销售市场经营主体</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商务部门</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市场监管、税务部门；</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市级、县级</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4月1日至10月31日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33</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二手车市场监管</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二手车市场监管</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二手车交易市场和二手车经营主体</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商务部门</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市场监管、公安、税务部门；</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市级、县级</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4月1日至10月31日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15</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34</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报废机动车回收拆解活动检查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报废机动车回收拆解活动检查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报废机动车回收拆解企业</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商务部门</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市场监管、公安、生态环境、交通运输、工信部门。</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市级、县级</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4月1日至10月31日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35</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对单用途商业预付卡监督检查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单用途商业预付卡业务检查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已备案的单用途商业预付卡发卡企业</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商务部门</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市场监管部门</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市级、县级</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4月1日至10月31日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36</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学校办学情况抽查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学校招生、办学情况的检查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校外培训机构、民办中小学（含民办中职）、有限责任公司</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教体部门</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市场监管、民政、消防救援</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市级教体部门</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3月30日至11月30日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64</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37</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中小学教育装备产品（含文体教育用品、教学仪器、校服等）检查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中小学教育装备产品（含文体教育用品、教学仪器、校服等）检查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公办中小学</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教体部门</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财政</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市级教体部门</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3月30日至11月30日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24</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8" w:hRule="atLeast"/>
        </w:trPr>
        <w:tc>
          <w:tcPr>
            <w:tcW w:w="511" w:type="dxa"/>
            <w:noWrap w:val="0"/>
            <w:vAlign w:val="center"/>
          </w:tcPr>
          <w:p>
            <w:pPr>
              <w:keepNext w:val="0"/>
              <w:keepLines w:val="0"/>
              <w:pageBreakBefore w:val="0"/>
              <w:widowControl w:val="0"/>
              <w:kinsoku/>
              <w:wordWrap/>
              <w:overflowPunct/>
              <w:topLinePunct w:val="0"/>
              <w:autoSpaceDE/>
              <w:autoSpaceDN/>
              <w:bidi w:val="0"/>
              <w:adjustRightInd/>
              <w:snapToGrid w:val="0"/>
              <w:spacing w:line="280" w:lineRule="exact"/>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38</w:t>
            </w:r>
          </w:p>
        </w:tc>
        <w:tc>
          <w:tcPr>
            <w:tcW w:w="1363"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双鸭山市2021年部门联合抽查计划</w:t>
            </w:r>
          </w:p>
        </w:tc>
        <w:tc>
          <w:tcPr>
            <w:tcW w:w="146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高危险性体育经营场所抽查</w:t>
            </w:r>
          </w:p>
        </w:tc>
        <w:tc>
          <w:tcPr>
            <w:tcW w:w="1680"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场地设施、人员资质、制度建设、安全保障及卫生、环境管理等情况的检查</w:t>
            </w:r>
          </w:p>
        </w:tc>
        <w:tc>
          <w:tcPr>
            <w:tcW w:w="1342"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游泳馆、滑雪场</w:t>
            </w:r>
          </w:p>
        </w:tc>
        <w:tc>
          <w:tcPr>
            <w:tcW w:w="87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模板导入</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教体部门</w:t>
            </w:r>
          </w:p>
        </w:tc>
        <w:tc>
          <w:tcPr>
            <w:tcW w:w="1031"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应急管理、市场监管、</w:t>
            </w:r>
          </w:p>
        </w:tc>
        <w:tc>
          <w:tcPr>
            <w:tcW w:w="806"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市级教体部门</w:t>
            </w:r>
          </w:p>
        </w:tc>
        <w:tc>
          <w:tcPr>
            <w:tcW w:w="69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100%</w:t>
            </w:r>
          </w:p>
        </w:tc>
        <w:tc>
          <w:tcPr>
            <w:tcW w:w="987"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3月30日至11月30日</w:t>
            </w:r>
          </w:p>
        </w:tc>
        <w:tc>
          <w:tcPr>
            <w:tcW w:w="824" w:type="dxa"/>
            <w:noWrap w:val="0"/>
            <w:vAlign w:val="center"/>
          </w:tcPr>
          <w:p>
            <w:pPr>
              <w:keepNext w:val="0"/>
              <w:keepLines w:val="0"/>
              <w:pageBreakBefore w:val="0"/>
              <w:widowControl w:val="0"/>
              <w:kinsoku/>
              <w:wordWrap/>
              <w:overflowPunct/>
              <w:topLinePunct w:val="0"/>
              <w:autoSpaceDE/>
              <w:autoSpaceDN/>
              <w:bidi w:val="0"/>
              <w:adjustRightInd/>
              <w:spacing w:line="280" w:lineRule="exac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w:t>
            </w:r>
          </w:p>
        </w:tc>
        <w:tc>
          <w:tcPr>
            <w:tcW w:w="411" w:type="dxa"/>
            <w:noWrap w:val="0"/>
            <w:vAlign w:val="top"/>
          </w:tcPr>
          <w:p>
            <w:pPr>
              <w:keepNext w:val="0"/>
              <w:keepLines w:val="0"/>
              <w:pageBreakBefore w:val="0"/>
              <w:widowControl w:val="0"/>
              <w:kinsoku/>
              <w:wordWrap/>
              <w:overflowPunct/>
              <w:topLinePunct w:val="0"/>
              <w:autoSpaceDE/>
              <w:autoSpaceDN/>
              <w:bidi w:val="0"/>
              <w:adjustRightInd/>
              <w:snapToGrid w:val="0"/>
              <w:spacing w:line="280" w:lineRule="exact"/>
              <w:jc w:val="left"/>
              <w:textAlignment w:val="baseline"/>
              <w:rPr>
                <w:rFonts w:hint="eastAsia" w:ascii="仿宋_GB2312" w:hAnsi="仿宋_GB2312" w:eastAsia="仿宋_GB2312" w:cs="仿宋_GB2312"/>
                <w:sz w:val="21"/>
                <w:szCs w:val="21"/>
              </w:rPr>
            </w:pPr>
          </w:p>
        </w:tc>
      </w:tr>
    </w:tbl>
    <w:p>
      <w:pPr>
        <w:jc w:val="center"/>
        <w:rPr>
          <w:rFonts w:hint="eastAsia" w:ascii="仿宋_GB2312" w:hAnsi="仿宋_GB2312" w:eastAsia="仿宋_GB2312" w:cs="仿宋_GB2312"/>
          <w:sz w:val="21"/>
          <w:szCs w:val="21"/>
          <w:lang w:val="en-US" w:eastAsia="zh-CN"/>
        </w:rPr>
      </w:pPr>
    </w:p>
    <w:p/>
    <w:sectPr>
      <w:pgSz w:w="16838" w:h="11906" w:orient="landscape"/>
      <w:pgMar w:top="1587" w:right="2098" w:bottom="1474" w:left="1984" w:header="851" w:footer="992" w:gutter="0"/>
      <w:pgNumType w:fmt="numberInDash"/>
      <w:cols w:space="72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047EB3"/>
    <w:rsid w:val="7B047E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2021-09-02T05:59:00Z</dcterms:created>
  <dc:creator>abcd</dc:creator>
  <cp:lastModifiedBy>abcd</cp:lastModifiedBy>
  <dcterms:modified xsi:type="dcterms:W3CDTF">2021-09-02T05:59:31Z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101A701DB23246AD90DCEE13BF2E68FF</vt:lpwstr>
  </property>
</Properties>
</file>